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BE" w:rsidRPr="00EB60BE" w:rsidRDefault="00EB60BE" w:rsidP="00EB60BE">
      <w:pPr>
        <w:pStyle w:val="OZNPROJEKTUwskazaniedatylubwersjiprojektu"/>
      </w:pPr>
      <w:bookmarkStart w:id="0" w:name="_GoBack"/>
      <w:bookmarkEnd w:id="0"/>
      <w:r w:rsidRPr="00EB60BE">
        <w:t xml:space="preserve">Projekt z dnia </w:t>
      </w:r>
      <w:r w:rsidR="00343716">
        <w:t>1</w:t>
      </w:r>
      <w:r w:rsidR="00E63FAC">
        <w:t>8</w:t>
      </w:r>
      <w:r w:rsidR="00343716" w:rsidRPr="00EB60BE">
        <w:t xml:space="preserve"> </w:t>
      </w:r>
      <w:r w:rsidR="008B4CB0">
        <w:t>grudnia</w:t>
      </w:r>
      <w:r w:rsidR="00E06549">
        <w:t xml:space="preserve"> </w:t>
      </w:r>
      <w:r w:rsidRPr="00EB60BE">
        <w:t>2015 r.</w:t>
      </w:r>
    </w:p>
    <w:p w:rsidR="00EB60BE" w:rsidRPr="00EB60BE" w:rsidRDefault="00EB60BE" w:rsidP="00EB60BE">
      <w:pPr>
        <w:pStyle w:val="OZNPROJEKTUwskazaniedatylubwersjiprojektu"/>
      </w:pPr>
    </w:p>
    <w:p w:rsidR="00EB60BE" w:rsidRPr="00EB60BE" w:rsidRDefault="00EB60BE" w:rsidP="00EB60BE">
      <w:pPr>
        <w:pStyle w:val="OZNRODZAKTUtznustawalubrozporzdzenieiorganwydajcy"/>
      </w:pPr>
      <w:r w:rsidRPr="00EB60BE">
        <w:t>ROZPORZĄDZENIE</w:t>
      </w:r>
    </w:p>
    <w:p w:rsidR="00EB60BE" w:rsidRPr="00EB60BE" w:rsidRDefault="00EB60BE" w:rsidP="00EB60BE">
      <w:pPr>
        <w:pStyle w:val="OZNRODZAKTUtznustawalubrozporzdzenieiorganwydajcy"/>
      </w:pPr>
      <w:r w:rsidRPr="00EB60BE">
        <w:t>MINISTRA ZDROWIA</w:t>
      </w:r>
      <w:r w:rsidRPr="00EB60BE">
        <w:rPr>
          <w:rStyle w:val="IGindeksgrny"/>
        </w:rPr>
        <w:footnoteReference w:id="1"/>
      </w:r>
      <w:r w:rsidRPr="00EB60BE">
        <w:rPr>
          <w:rStyle w:val="IGindeksgrny"/>
        </w:rPr>
        <w:t>)</w:t>
      </w:r>
    </w:p>
    <w:p w:rsidR="00EB60BE" w:rsidRPr="00EB60BE" w:rsidRDefault="00EB60BE" w:rsidP="00EB60BE">
      <w:pPr>
        <w:pStyle w:val="DATAAKTUdatauchwalenialubwydaniaaktu"/>
      </w:pPr>
      <w:r w:rsidRPr="00EB60BE">
        <w:t>z dnia ………………..</w:t>
      </w:r>
    </w:p>
    <w:p w:rsidR="00EB60BE" w:rsidRPr="00EB60BE" w:rsidRDefault="00EB60BE" w:rsidP="00EB60BE">
      <w:pPr>
        <w:pStyle w:val="TYTUAKTUprzedmiotregulacjiustawylubrozporzdzenia"/>
      </w:pPr>
      <w:r w:rsidRPr="00EB60BE">
        <w:t>w sprawie minimalnych wymagań organizacyjno-technicznych dla Zintegrowanego Systemu Monitorowania Obrotu Produktami Leczniczymi</w:t>
      </w:r>
    </w:p>
    <w:p w:rsidR="00EB60BE" w:rsidRPr="00EB60BE" w:rsidRDefault="00EB60BE" w:rsidP="00EB60BE">
      <w:pPr>
        <w:pStyle w:val="NIEARTTEKSTtekstnieartykuowanynppodstprawnarozplubpreambua"/>
      </w:pPr>
      <w:r w:rsidRPr="00EB60BE">
        <w:t xml:space="preserve">Na podstawie art. 29 ust. 8 ustawy z dnia 28 kwietnia 2011 r. o systemie informacji w ochronie zdrowia (Dz. U. z 2015 r. poz. 636, </w:t>
      </w:r>
      <w:r w:rsidR="00B3563B">
        <w:t>z późn. zm.</w:t>
      </w:r>
      <w:r w:rsidR="00B3563B">
        <w:rPr>
          <w:rStyle w:val="Odwoanieprzypisudolnego"/>
        </w:rPr>
        <w:footnoteReference w:customMarkFollows="1" w:id="2"/>
        <w:t>2)</w:t>
      </w:r>
      <w:r w:rsidRPr="00EB60BE">
        <w:t>) zarządza się, co następuje:</w:t>
      </w:r>
    </w:p>
    <w:p w:rsidR="00EB60BE" w:rsidRPr="00EB60BE" w:rsidRDefault="00EB60BE" w:rsidP="00EB60BE">
      <w:pPr>
        <w:pStyle w:val="ARTartustawynprozporzdzenia"/>
      </w:pPr>
      <w:r w:rsidRPr="00EB60BE">
        <w:t>§ 1. Rozporządzenie określa:</w:t>
      </w:r>
    </w:p>
    <w:p w:rsidR="00EB60BE" w:rsidRPr="00EB60BE" w:rsidRDefault="00EB60BE" w:rsidP="00EB60BE">
      <w:pPr>
        <w:pStyle w:val="PKTpunkt"/>
      </w:pPr>
      <w:r w:rsidRPr="00EB60BE">
        <w:t>1) minimalną funkcjonalność Zintegrowanego Systemu Monitorowania Obrotu Produktami Leczniczymi, zwanego dalej „systemem”;</w:t>
      </w:r>
    </w:p>
    <w:p w:rsidR="00EB60BE" w:rsidRPr="00EB60BE" w:rsidRDefault="00EB60BE" w:rsidP="00EB60BE">
      <w:pPr>
        <w:pStyle w:val="PKTpunkt"/>
      </w:pPr>
      <w:r w:rsidRPr="00EB60BE">
        <w:t>2) minimalne warunki organizacyjno-techniczne oraz strukturę dokumentów elektronicznych, umożliwiających przekazywanie danych, o których mowa w art. 29 ust. 2 ustawy z dnia 28 kwietnia 2011 r. o systemie informacji w ochronie zdrowia, zwanej dalej „ustawą”.</w:t>
      </w:r>
    </w:p>
    <w:p w:rsidR="00EB60BE" w:rsidRPr="00EB60BE" w:rsidRDefault="00EB60BE" w:rsidP="00EB60BE">
      <w:pPr>
        <w:pStyle w:val="ARTartustawynprozporzdzenia"/>
      </w:pPr>
      <w:r w:rsidRPr="00EB60BE">
        <w:t>§ 2. 1. System w zakresie minimalnej funkcjonalności zapewnia usługi:</w:t>
      </w:r>
    </w:p>
    <w:p w:rsidR="00EB60BE" w:rsidRPr="00EB60BE" w:rsidRDefault="00EB60BE" w:rsidP="00EB60BE">
      <w:pPr>
        <w:pStyle w:val="PKTpunkt"/>
      </w:pPr>
      <w:r w:rsidRPr="00EB60BE">
        <w:t>1) przekazywania za pośrednictwem środków komunikacji elektronicznej przez przedsiębiorców prowadzących działalność polegającą na obrocie produktami leczniczymi, środkami spożywczymi specjalnego przeznaczenia żywieniowego oraz wyrobami medycznymi, o których mowa w art. 29 ust. 1 ustawy, dziennych raportów dotyczących przeprowadzonych transakcji</w:t>
      </w:r>
      <w:r w:rsidR="008B4CB0">
        <w:t>,</w:t>
      </w:r>
      <w:r w:rsidR="00E06549">
        <w:t xml:space="preserve"> </w:t>
      </w:r>
      <w:r w:rsidRPr="00EB60BE">
        <w:t>stanów magazynowych</w:t>
      </w:r>
      <w:r w:rsidR="008B4CB0">
        <w:t xml:space="preserve"> i przesunięć magazynowych</w:t>
      </w:r>
      <w:r w:rsidRPr="00EB60BE">
        <w:t>, o których mowa w art. 78 ust. 1 pkt 6a i art. 95 ust. 1b ustawy z dnia 6 września 2001 r. – Prawo farmaceutyczne (Dz. U. z 2008 r. Nr 45, poz. 271, z późn. zm.</w:t>
      </w:r>
      <w:r w:rsidR="00B3563B">
        <w:rPr>
          <w:rStyle w:val="Odwoanieprzypisudolnego"/>
        </w:rPr>
        <w:footnoteReference w:customMarkFollows="1" w:id="3"/>
        <w:t>3)</w:t>
      </w:r>
      <w:r w:rsidRPr="00EB60BE">
        <w:t>);</w:t>
      </w:r>
    </w:p>
    <w:p w:rsidR="00EB60BE" w:rsidRPr="00EB60BE" w:rsidRDefault="00EB60BE" w:rsidP="00EB60BE">
      <w:pPr>
        <w:pStyle w:val="PKTpunkt"/>
      </w:pPr>
      <w:r w:rsidRPr="00EB60BE">
        <w:lastRenderedPageBreak/>
        <w:t xml:space="preserve">2) przekazywania za pośrednictwem środków komunikacji elektronicznej przez przedsiębiorców prowadzących apteki, punkty apteczne, działy farmacji </w:t>
      </w:r>
      <w:r w:rsidR="003F3E8E">
        <w:t xml:space="preserve">szpitalnej </w:t>
      </w:r>
      <w:r w:rsidRPr="00EB60BE">
        <w:t>lub hurtownie farmaceutyczne komunikatów zawierających informację o wystąpieniu braków w dostępie do produktów leczniczych, o których mowa w art. 29 ust. 1 ustawy;</w:t>
      </w:r>
    </w:p>
    <w:p w:rsidR="00EB60BE" w:rsidRPr="00EB60BE" w:rsidRDefault="00EB60BE" w:rsidP="00EB60BE">
      <w:pPr>
        <w:pStyle w:val="PKTpunkt"/>
      </w:pPr>
      <w:r w:rsidRPr="00EB60BE">
        <w:t xml:space="preserve">3) przekazywania za pośrednictwem środków komunikacji elektronicznej przez podmioty odpowiedzialne, o których mowa w art. </w:t>
      </w:r>
      <w:r w:rsidR="008B4CB0">
        <w:t>2 pkt 24</w:t>
      </w:r>
      <w:r w:rsidR="008B4CB0" w:rsidRPr="00EB60BE">
        <w:t xml:space="preserve"> </w:t>
      </w:r>
      <w:r w:rsidRPr="00EB60BE">
        <w:t>ustawy z dnia 6 września 2001 r. – Prawo farmaceutyczne, komunikatów z informacją o:</w:t>
      </w:r>
    </w:p>
    <w:p w:rsidR="00EB60BE" w:rsidRPr="00EB60BE" w:rsidRDefault="00EB60BE" w:rsidP="00EB60BE">
      <w:pPr>
        <w:pStyle w:val="LITlitera"/>
      </w:pPr>
      <w:r w:rsidRPr="00EB60BE">
        <w:t xml:space="preserve">a) zwolnieniach serii, </w:t>
      </w:r>
    </w:p>
    <w:p w:rsidR="00EB60BE" w:rsidRPr="00EB60BE" w:rsidRDefault="00EB60BE" w:rsidP="00EB60BE">
      <w:pPr>
        <w:pStyle w:val="LITlitera"/>
      </w:pPr>
      <w:r w:rsidRPr="00EB60BE">
        <w:t>b) każdym fakcie zbycia produktu leczniczego przedsiębiorcy prowadzącemu działalność polegającą na prowadzeniu hurtowni farmaceutycznej, aptece szpitalnej lub działowi farmacji szpitalnej, szpitalowi lub innemu przedsiębiorstwu podmiotu leczniczego,</w:t>
      </w:r>
    </w:p>
    <w:p w:rsidR="00EB60BE" w:rsidRPr="00EB60BE" w:rsidRDefault="00EB60BE" w:rsidP="00EB60BE">
      <w:pPr>
        <w:pStyle w:val="LITlitera"/>
      </w:pPr>
      <w:r w:rsidRPr="00EB60BE">
        <w:t xml:space="preserve">c) planowanych dostawach produktów leczniczych przeznaczonych do zbycia na terytorium </w:t>
      </w:r>
      <w:r w:rsidR="003F3E8E">
        <w:t>Rzeczypospolitej Polskiej</w:t>
      </w:r>
      <w:r w:rsidRPr="00EB60BE">
        <w:t>, o wstrzymaniach tych dostaw oraz ich wznowieniach,</w:t>
      </w:r>
    </w:p>
    <w:p w:rsidR="00EB60BE" w:rsidRPr="00EB60BE" w:rsidRDefault="00EB60BE" w:rsidP="00EB60BE">
      <w:pPr>
        <w:pStyle w:val="LITlitera"/>
      </w:pPr>
      <w:r w:rsidRPr="00EB60BE">
        <w:t xml:space="preserve">d) </w:t>
      </w:r>
      <w:r w:rsidR="003F3E8E" w:rsidRPr="00EB60BE">
        <w:t>stan</w:t>
      </w:r>
      <w:r w:rsidR="003F3E8E">
        <w:t>ach</w:t>
      </w:r>
      <w:r w:rsidR="003F3E8E" w:rsidRPr="00EB60BE">
        <w:t xml:space="preserve"> </w:t>
      </w:r>
      <w:r w:rsidRPr="00EB60BE">
        <w:t>magazynowych produktów leczniczych</w:t>
      </w:r>
    </w:p>
    <w:p w:rsidR="00EB60BE" w:rsidRPr="00EB60BE" w:rsidRDefault="003F3E8E" w:rsidP="00167939">
      <w:pPr>
        <w:pStyle w:val="CZWSPLITczwsplnaliter"/>
      </w:pPr>
      <w:r>
        <w:t>–</w:t>
      </w:r>
      <w:r w:rsidRPr="00EB60BE">
        <w:t xml:space="preserve"> zawierając</w:t>
      </w:r>
      <w:r>
        <w:t xml:space="preserve">ych </w:t>
      </w:r>
      <w:r w:rsidR="00EB60BE" w:rsidRPr="00EB60BE">
        <w:t>dane</w:t>
      </w:r>
      <w:r>
        <w:t>,</w:t>
      </w:r>
      <w:r w:rsidR="00EB60BE" w:rsidRPr="00EB60BE">
        <w:t xml:space="preserve"> o których mowa w art. 72a ust. 2  pkt 1</w:t>
      </w:r>
      <w:r w:rsidR="0020276C">
        <w:t xml:space="preserve"> lit.</w:t>
      </w:r>
      <w:r w:rsidR="00EB60BE" w:rsidRPr="00EB60BE">
        <w:t xml:space="preserve"> a</w:t>
      </w:r>
      <w:r>
        <w:t>–</w:t>
      </w:r>
      <w:r w:rsidR="00EB60BE" w:rsidRPr="00EB60BE">
        <w:t>e i pkt 2</w:t>
      </w:r>
      <w:r>
        <w:t>–</w:t>
      </w:r>
      <w:r w:rsidR="00EB60BE" w:rsidRPr="00EB60BE">
        <w:t xml:space="preserve">4 ustawy z dnia </w:t>
      </w:r>
      <w:r>
        <w:t>6 września 2001 r. –</w:t>
      </w:r>
      <w:r w:rsidR="00EB60BE" w:rsidRPr="00EB60BE">
        <w:t xml:space="preserve"> Prawo farmaceutyczne;</w:t>
      </w:r>
    </w:p>
    <w:p w:rsidR="00EB60BE" w:rsidRPr="00EB60BE" w:rsidRDefault="00EB60BE" w:rsidP="00EB60BE">
      <w:pPr>
        <w:pStyle w:val="PKTpunkt"/>
      </w:pPr>
      <w:r w:rsidRPr="00EB60BE">
        <w:t>4) gromadzenia danych dotyczących obrotu produktami leczniczymi</w:t>
      </w:r>
      <w:r w:rsidR="00FF4240">
        <w:t>, środkami spożywczymi specjalnego przeznaczenia żywieniowego, wyrobami medycznymi</w:t>
      </w:r>
      <w:r w:rsidRPr="00EB60BE">
        <w:t xml:space="preserve"> oraz zapewnienie dostępu do zestawień statystycznych w zakresie obrotu określonymi produktami ewidencjonowanymi w Systemie Informacji Medycznej.</w:t>
      </w:r>
    </w:p>
    <w:p w:rsidR="00EB60BE" w:rsidRPr="00EB60BE" w:rsidRDefault="00EB60BE" w:rsidP="00EB60BE">
      <w:pPr>
        <w:pStyle w:val="USTustnpkodeksu"/>
      </w:pPr>
      <w:r w:rsidRPr="00EB60BE">
        <w:t>2. Struktury dokumentów elektronicznych umożliwiających przekazywanie raportów i komunikatów zawierających dane, o których mowa w art. 29 ust. 2 ustawy, są udostępniane w centralnym repozytorium wzorów dokumentów elektronicznych, o którym mowa w art. 19b ust. 1 ustawy z dnia 17 lutego 2005 r. o informatyzacji działalności podmiotów realizujących zadania publiczne (Dz. U. z 2014 r. poz. 1114), na portalu edukacyjno-informacyjnym, o którym mowa w art. 36 ustawy, oraz w Biuletynie Informacji Publicznej na stronie podmiotowej ministra właściwego do spraw zdrowia.</w:t>
      </w:r>
    </w:p>
    <w:p w:rsidR="00EB60BE" w:rsidRPr="00EB60BE" w:rsidRDefault="00EB60BE" w:rsidP="00EB60BE">
      <w:pPr>
        <w:pStyle w:val="ARTartustawynprozporzdzenia"/>
      </w:pPr>
      <w:r w:rsidRPr="00EB60BE">
        <w:t>§ 3. Warunki organizacyjno-techniczne danych przetwarzanych w systemie są zgodne z wymaganiami określonymi w przepisach wydanych na podstawie art. 18 ustawy z dnia 17 lutego 2005 r. o informatyzacji działalności podmiotów realizujących zadania publiczne.</w:t>
      </w:r>
    </w:p>
    <w:p w:rsidR="00EB60BE" w:rsidRPr="00EB60BE" w:rsidRDefault="00EB60BE" w:rsidP="00EB60BE">
      <w:pPr>
        <w:pStyle w:val="USTustnpkodeksu"/>
      </w:pPr>
      <w:r w:rsidRPr="00EB60BE">
        <w:lastRenderedPageBreak/>
        <w:t>§ 4. 1. Administrator systemu opracowuje, ustanawia, wdraża, eksploatuje, monitoruje i przegląda oraz utrzymuje i doskonali system zarządzania bezpieczeństwem informacji zapewniający poufność, dostępność i integralność informacji.</w:t>
      </w:r>
    </w:p>
    <w:p w:rsidR="00EB60BE" w:rsidRPr="00EB60BE" w:rsidRDefault="00EB60BE" w:rsidP="00EB60BE">
      <w:pPr>
        <w:pStyle w:val="USTustnpkodeksu"/>
      </w:pPr>
      <w:r w:rsidRPr="00EB60BE">
        <w:t>2. System zarządzania bezpieczeństwem informacji spełnia wymagania określone w przepisach wydanych na podstawie art. 18 ustawy z dnia 17 lutego 2005 r. o informatyzacji działalności podmiotów realizujących zadania publiczne dla systemu zarządzania bezpieczeństwem informacji.</w:t>
      </w:r>
    </w:p>
    <w:p w:rsidR="005119A0" w:rsidRDefault="00EB60BE" w:rsidP="005119A0">
      <w:pPr>
        <w:pStyle w:val="ARTartustawynprozporzdzenia"/>
      </w:pPr>
      <w:r w:rsidRPr="00EB60BE">
        <w:t>§ 5. Rozporządze</w:t>
      </w:r>
      <w:r w:rsidR="005119A0">
        <w:t>nie wchodzi w życie z dniem</w:t>
      </w:r>
      <w:r w:rsidR="006B4C09">
        <w:t xml:space="preserve"> </w:t>
      </w:r>
      <w:r w:rsidR="00A03643">
        <w:t>następującym pod dniu ogłoszenia.</w:t>
      </w:r>
    </w:p>
    <w:p w:rsidR="005119A0" w:rsidRDefault="005119A0" w:rsidP="005119A0">
      <w:pPr>
        <w:pStyle w:val="ARTartustawynprozporzdzenia"/>
      </w:pPr>
    </w:p>
    <w:p w:rsidR="005119A0" w:rsidRDefault="005119A0" w:rsidP="005119A0">
      <w:pPr>
        <w:pStyle w:val="NAZORGWYDnazwaorganuwydajcegoprojektowanyakt"/>
      </w:pPr>
    </w:p>
    <w:p w:rsidR="00EB60BE" w:rsidRDefault="00EB60BE" w:rsidP="005119A0">
      <w:pPr>
        <w:pStyle w:val="NAZORGWYDnazwaorganuwydajcegoprojektowanyakt"/>
      </w:pPr>
      <w:r w:rsidRPr="00EB60BE">
        <w:t>Minister Zdrowia</w:t>
      </w:r>
    </w:p>
    <w:p w:rsidR="005119A0" w:rsidRPr="005119A0" w:rsidRDefault="005119A0" w:rsidP="005119A0">
      <w:pPr>
        <w:spacing w:after="0" w:line="360" w:lineRule="auto"/>
        <w:jc w:val="left"/>
        <w:rPr>
          <w:rFonts w:ascii="Times" w:eastAsia="Times New Roman" w:hAnsi="Times"/>
          <w:b/>
          <w:bCs/>
          <w:caps/>
          <w:kern w:val="24"/>
          <w:sz w:val="24"/>
          <w:szCs w:val="24"/>
          <w:lang w:eastAsia="pl-PL"/>
        </w:rPr>
      </w:pPr>
      <w:r>
        <w:br w:type="page"/>
      </w:r>
    </w:p>
    <w:p w:rsidR="00EB60BE" w:rsidRPr="00EB60BE" w:rsidRDefault="00EB60BE" w:rsidP="00EB60BE">
      <w:pPr>
        <w:pStyle w:val="NAZORGWYDnazwaorganuwydajcegoprojektowanyakt"/>
      </w:pPr>
    </w:p>
    <w:p w:rsidR="00EB60BE" w:rsidRPr="00EB60BE" w:rsidRDefault="00EB60BE" w:rsidP="00EB60BE">
      <w:pPr>
        <w:pStyle w:val="NIEARTTEKSTtekstnieartykuowanynppodstprawnarozplubpreambua"/>
      </w:pPr>
      <w:r w:rsidRPr="00EB60BE">
        <w:t>UZASADNIENIE</w:t>
      </w:r>
    </w:p>
    <w:p w:rsidR="00EB60BE" w:rsidRPr="00EB60BE" w:rsidRDefault="00EB60BE" w:rsidP="00EB60BE">
      <w:pPr>
        <w:pStyle w:val="NIEARTTEKSTtekstnieartykuowanynppodstprawnarozplubpreambua"/>
      </w:pPr>
    </w:p>
    <w:p w:rsidR="00EB60BE" w:rsidRPr="00EB60BE" w:rsidRDefault="00EB60BE" w:rsidP="00EB60BE">
      <w:pPr>
        <w:pStyle w:val="NIEARTTEKSTtekstnieartykuowanynppodstprawnarozplubpreambua"/>
      </w:pPr>
      <w:r w:rsidRPr="00EB60BE">
        <w:t xml:space="preserve">Projekt rozporządzenia stanowi wykonanie upoważnienia określonego w art. </w:t>
      </w:r>
      <w:r w:rsidR="008B4E13">
        <w:t>29 ust. 8</w:t>
      </w:r>
      <w:r w:rsidR="008B4E13" w:rsidRPr="00EB60BE">
        <w:t xml:space="preserve"> </w:t>
      </w:r>
      <w:r w:rsidRPr="00EB60BE">
        <w:t xml:space="preserve">ustawy z dnia 28 kwietnia 2011 r. o systemie informacji w ochronie zdrowia (Dz. U. </w:t>
      </w:r>
      <w:r w:rsidR="008B4E13">
        <w:t>z 2015 r. poz. 636</w:t>
      </w:r>
      <w:r w:rsidRPr="00EB60BE">
        <w:t>, z późn. zm.).</w:t>
      </w:r>
    </w:p>
    <w:p w:rsidR="00EB60BE" w:rsidRPr="00EB60BE" w:rsidRDefault="00EB60BE" w:rsidP="00EB60BE">
      <w:pPr>
        <w:pStyle w:val="NIEARTTEKSTtekstnieartykuowanynppodstprawnarozplubpreambua"/>
      </w:pPr>
      <w:r w:rsidRPr="00EB60BE">
        <w:t>Projekt określa minimalne wymagania jakie powinny spełniać funkcjonalności Zintegrowanego Systemu Monitorowania Obrotu Produktami Leczniczymi. System ten jest systemem teleinformatycznym w rozumieniu art. 2 pkt 3 ustawy z dnia 18 lipca 2002 r. o świadczeniu usług drogą elektroniczną (Dz. U. z 2013 r. poz. 1422</w:t>
      </w:r>
      <w:r w:rsidR="000835E9">
        <w:t>, z późn. zm.</w:t>
      </w:r>
      <w:r w:rsidRPr="00EB60BE">
        <w:t>). Stanowi on komponent będący teleinformatyczną implementacją ważnych składowych systemu informacji w ochronie zdrowia. Realizacja systemu informacji w ochronie zdrowia jest jednym z kluczowych zadań realizowanych przez ministra właściwego do spraw zdrowia. Projektowane rozporządzenie będzie określało zakres wymagań minimalnych dla wskazanego systemu teleinformatycznego oraz wybrane aspekty dotyczące realizacji i eksploatacji tego systemu.</w:t>
      </w:r>
    </w:p>
    <w:p w:rsidR="00EB60BE" w:rsidRPr="00EB60BE" w:rsidRDefault="00EB60BE" w:rsidP="00EB60BE">
      <w:pPr>
        <w:pStyle w:val="NIEARTTEKSTtekstnieartykuowanynppodstprawnarozplubpreambua"/>
      </w:pPr>
      <w:r w:rsidRPr="00EB60BE">
        <w:t>W ramach systemu informacji w ochronie zdrowia funkcjonują tzw. dziedzinowe systemy teleinformatyczne, które obsługują jednorodne zadaniowo obszary działalności państwa w zakresie ochrony zdrowia. Projektowane rozporządzenie obejmuje swoim zakresem dziedzinowy system teleinformatyczny, połączony z pozostałymi systemami, tj. z Systemem Monitorowania Dostępności do Świadczeń Opieki Zdrowotnej oraz Systemem Monitorowania Kształcenia Pracowników Medycznych, w ramach systemu informacji w ochronie zdrowia, relacjami umożliwiającymi wymianę i automatyczną aktualizację danych z jednoczesnym otwarciem na systemy informacyjne obsługujące organy administracji publicznej.</w:t>
      </w:r>
    </w:p>
    <w:p w:rsidR="00EB60BE" w:rsidRPr="00EB60BE" w:rsidRDefault="00EB60BE" w:rsidP="00EB60BE">
      <w:pPr>
        <w:pStyle w:val="NIEARTTEKSTtekstnieartykuowanynppodstprawnarozplubpreambua"/>
      </w:pPr>
      <w:r w:rsidRPr="00EB60BE">
        <w:t>Zintegrowany System Monitorowania Obrotu Produktami Leczniczymi jest systemem teleinformatycznym, który umożliwi przekazywanie za pośrednictwem środków komunikacji elektronicznej dziennych raportów dotyczących przeprowadzonych transakcji, stanów magazynowych, braków w dostępie do produktów monitorowanych, co pozwoli na stworzenie pełnego obrazu obrotu tymi produktami.</w:t>
      </w:r>
    </w:p>
    <w:p w:rsidR="00EB60BE" w:rsidRPr="00EB60BE" w:rsidRDefault="00EB60BE" w:rsidP="00EB60BE">
      <w:pPr>
        <w:pStyle w:val="NIEARTTEKSTtekstnieartykuowanynppodstprawnarozplubpreambua"/>
      </w:pPr>
      <w:r w:rsidRPr="00EB60BE">
        <w:lastRenderedPageBreak/>
        <w:t>Głównym miejscem przechowywania wzorów dokumentów elektronicznych będzie centralne repozytorium wzorów dokumentów elektronicznych (CRD), o którym mowa w art. 19b ust. 1 ustawy z dnia 17 lutego 2005 r. o informatyzacji działalności podmiotów realizujących zadania publiczne (Dz. U. z 2014 r. poz. 1114), natomiast na portalu edukacyjno-informacyjnym oraz w Biuletynie Informacji Publicznej Ministra Zdrowia zamieszczone zostaną jedynie odnośniki do CRD.</w:t>
      </w:r>
    </w:p>
    <w:p w:rsidR="00EB60BE" w:rsidRPr="00EB60BE" w:rsidRDefault="00EB60BE" w:rsidP="00EB60BE">
      <w:pPr>
        <w:pStyle w:val="NIEARTTEKSTtekstnieartykuowanynppodstprawnarozplubpreambua"/>
      </w:pPr>
      <w:r w:rsidRPr="00EB60BE">
        <w:t>W celu realizacji wytycznych z przepisu upoważniającego w zakresie zachowania odpowiedniego poziomu bezpieczeństwa, przyjęto konieczność stosowania wymagań określonych w rozporządzeniu Rady Ministrów z dnia 12 kwietnia 2012 r. w sprawie Krajowych Ram Interoperacyjności, minimalnych wymagań dla rejestrów publicznych i wymiany informacji w postaci elektronicznej oraz minimalnych wymagań dla systemów teleinformatycznych</w:t>
      </w:r>
      <w:r w:rsidR="000835E9">
        <w:t xml:space="preserve"> (Dz. U. poz. 526, z późn. zm.)</w:t>
      </w:r>
      <w:r w:rsidRPr="00EB60BE">
        <w:t>.</w:t>
      </w:r>
    </w:p>
    <w:p w:rsidR="00EB60BE" w:rsidRPr="00EB60BE" w:rsidRDefault="00EB60BE" w:rsidP="00EB60BE">
      <w:pPr>
        <w:pStyle w:val="NIEARTTEKSTtekstnieartykuowanynppodstprawnarozplubpreambua"/>
      </w:pPr>
      <w:r w:rsidRPr="00EB60BE">
        <w:t>Projekt rozporządzenia nie podlega notyfikacji w rozumieniu rozporządzenia Rady Ministrów z dnia 23 grudnia 2002 r. w sprawie sposobu funkcjonowania krajowego systemu notyfikacji norm i aktów prawnych (Dz. U. Nr 239, poz. 2039, z późn. zm.).</w:t>
      </w:r>
    </w:p>
    <w:p w:rsidR="00EB60BE" w:rsidRPr="00EB60BE" w:rsidRDefault="00EB60BE" w:rsidP="00EB60BE">
      <w:pPr>
        <w:pStyle w:val="NIEARTTEKSTtekstnieartykuowanynppodstprawnarozplubpreambua"/>
      </w:pPr>
      <w:r w:rsidRPr="00EB60BE">
        <w:t>Projekt jest zgodny z prawem Unii Europejskiej.</w:t>
      </w:r>
    </w:p>
    <w:p w:rsidR="00EB60BE" w:rsidRPr="00EB60BE" w:rsidRDefault="00EB60BE" w:rsidP="00EB60BE"/>
    <w:p w:rsidR="00BF437E" w:rsidRPr="00EB60BE" w:rsidRDefault="00BF437E" w:rsidP="00EB60BE"/>
    <w:sectPr w:rsidR="00BF437E" w:rsidRPr="00EB60BE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3E" w:rsidRDefault="005A2B3E">
      <w:r>
        <w:separator/>
      </w:r>
    </w:p>
  </w:endnote>
  <w:endnote w:type="continuationSeparator" w:id="0">
    <w:p w:rsidR="005A2B3E" w:rsidRDefault="005A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3E" w:rsidRDefault="005A2B3E">
      <w:r>
        <w:separator/>
      </w:r>
    </w:p>
  </w:footnote>
  <w:footnote w:type="continuationSeparator" w:id="0">
    <w:p w:rsidR="005A2B3E" w:rsidRDefault="005A2B3E">
      <w:r>
        <w:continuationSeparator/>
      </w:r>
    </w:p>
  </w:footnote>
  <w:footnote w:id="1">
    <w:p w:rsidR="008B4E13" w:rsidRDefault="008B4E13" w:rsidP="00EB60BE">
      <w:pPr>
        <w:pStyle w:val="ODNONIKtreodnonika"/>
      </w:pPr>
      <w:r>
        <w:rPr>
          <w:rStyle w:val="Odwoanieprzypisudolnego"/>
          <w:sz w:val="16"/>
          <w:szCs w:val="16"/>
        </w:rPr>
        <w:footnoteRef/>
      </w:r>
      <w:r>
        <w:rPr>
          <w:vertAlign w:val="superscript"/>
        </w:rPr>
        <w:t>)</w:t>
      </w:r>
      <w:r>
        <w:tab/>
        <w:t>Minister Zdrowia kieruje działem administracji rządowej – zdrowie, na podstawie § 1 ust. 2 rozporządzenia Prezesa Rady Ministrów z dnia 17 listopada 2015 r. w sprawie szczegółowego zakresu działania Ministra Zdrowia (Dz. U. poz. 1908).</w:t>
      </w:r>
    </w:p>
  </w:footnote>
  <w:footnote w:id="2">
    <w:p w:rsidR="00B3563B" w:rsidRDefault="00B3563B" w:rsidP="00B3563B">
      <w:pPr>
        <w:pStyle w:val="ODNONIKtreodnonika"/>
      </w:pPr>
      <w:r>
        <w:rPr>
          <w:rStyle w:val="Odwoanieprzypisudolnego"/>
        </w:rPr>
        <w:t>2)</w:t>
      </w:r>
      <w:r>
        <w:t xml:space="preserve"> Zmiany tekstu jednolitego wymienionej ustawy zostały ogłoszone w Dz. U. z</w:t>
      </w:r>
      <w:r w:rsidRPr="00EB60BE">
        <w:t xml:space="preserve"> </w:t>
      </w:r>
      <w:r>
        <w:t xml:space="preserve"> 2015 r. poz. </w:t>
      </w:r>
      <w:r w:rsidRPr="00EB60BE">
        <w:t>788, 855, 1066</w:t>
      </w:r>
      <w:r>
        <w:t>, 1918, 1991 i 1994.</w:t>
      </w:r>
    </w:p>
  </w:footnote>
  <w:footnote w:id="3">
    <w:p w:rsidR="001C663E" w:rsidRDefault="00B3563B" w:rsidP="00737811">
      <w:pPr>
        <w:pStyle w:val="ODNONIKtreodnonika"/>
      </w:pPr>
      <w:r>
        <w:rPr>
          <w:rStyle w:val="Odwoanieprzypisudolnego"/>
        </w:rPr>
        <w:t>3)</w:t>
      </w:r>
      <w:r>
        <w:t xml:space="preserve"> Zmiany tekstu jednolitego wymienionej ustawy zostały ogłoszone w Dz. U. z 2008 r. Nr 227, poz. 1505 i Nr 234, poz. 1570, z 2009 r. Nr 18, poz. 97, Nr 31, poz. 206, Nr 92, poz. 753, Nr 95, poz. 788 i Nr 98, poz. 817, z 2010 r. Nr 78, poz. 513 i Nr 107, poz. 679, z 2011 r. Nr 63, poz. 322, Nr 82, poz. 451, Nr 106, poz. 622, Nr 112, poz. 654, Nr 113, poz. 657 i Nr 122, poz. 696, z 2012 r. poz. 1342 i 1544, z 2013 r. poz. 1245, z 2014 r. poz. 822 i 1491 oraz z 2015 r. poz. 28, 277, 788, 875, 1771, 1830, 1918, 1926 i 1991.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13" w:rsidRPr="00B371CC" w:rsidRDefault="008B4E13" w:rsidP="00B371CC">
    <w:pPr>
      <w:pStyle w:val="Nagwek"/>
      <w:jc w:val="center"/>
    </w:pPr>
    <w:r>
      <w:t xml:space="preserve">– </w:t>
    </w:r>
    <w:r w:rsidR="007921EC">
      <w:fldChar w:fldCharType="begin"/>
    </w:r>
    <w:r w:rsidR="009B534E">
      <w:instrText xml:space="preserve"> PAGE  \* MERGEFORMAT </w:instrText>
    </w:r>
    <w:r w:rsidR="007921EC">
      <w:fldChar w:fldCharType="separate"/>
    </w:r>
    <w:r w:rsidR="00C72502">
      <w:rPr>
        <w:noProof/>
      </w:rPr>
      <w:t>2</w:t>
    </w:r>
    <w:r w:rsidR="007921EC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7B66FB6"/>
    <w:multiLevelType w:val="hybridMultilevel"/>
    <w:tmpl w:val="A7E479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9995601"/>
    <w:multiLevelType w:val="hybridMultilevel"/>
    <w:tmpl w:val="A7E479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7BB4D7D"/>
    <w:multiLevelType w:val="hybridMultilevel"/>
    <w:tmpl w:val="46EAD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3EF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DAA8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8"/>
  </w:num>
  <w:num w:numId="6">
    <w:abstractNumId w:val="33"/>
  </w:num>
  <w:num w:numId="7">
    <w:abstractNumId w:val="38"/>
  </w:num>
  <w:num w:numId="8">
    <w:abstractNumId w:val="33"/>
  </w:num>
  <w:num w:numId="9">
    <w:abstractNumId w:val="38"/>
  </w:num>
  <w:num w:numId="10">
    <w:abstractNumId w:val="33"/>
  </w:num>
  <w:num w:numId="11">
    <w:abstractNumId w:val="15"/>
  </w:num>
  <w:num w:numId="12">
    <w:abstractNumId w:val="10"/>
  </w:num>
  <w:num w:numId="13">
    <w:abstractNumId w:val="16"/>
  </w:num>
  <w:num w:numId="14">
    <w:abstractNumId w:val="28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20"/>
  </w:num>
  <w:num w:numId="32">
    <w:abstractNumId w:val="12"/>
  </w:num>
  <w:num w:numId="33">
    <w:abstractNumId w:val="32"/>
  </w:num>
  <w:num w:numId="34">
    <w:abstractNumId w:val="21"/>
  </w:num>
  <w:num w:numId="35">
    <w:abstractNumId w:val="18"/>
  </w:num>
  <w:num w:numId="36">
    <w:abstractNumId w:val="23"/>
  </w:num>
  <w:num w:numId="37">
    <w:abstractNumId w:val="29"/>
  </w:num>
  <w:num w:numId="38">
    <w:abstractNumId w:val="25"/>
  </w:num>
  <w:num w:numId="39">
    <w:abstractNumId w:val="14"/>
  </w:num>
  <w:num w:numId="40">
    <w:abstractNumId w:val="31"/>
  </w:num>
  <w:num w:numId="41">
    <w:abstractNumId w:val="30"/>
  </w:num>
  <w:num w:numId="42">
    <w:abstractNumId w:val="22"/>
  </w:num>
  <w:num w:numId="43">
    <w:abstractNumId w:val="37"/>
  </w:num>
  <w:num w:numId="44">
    <w:abstractNumId w:val="13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60"/>
    <w:rsid w:val="000012DA"/>
    <w:rsid w:val="0000246E"/>
    <w:rsid w:val="00003862"/>
    <w:rsid w:val="00012A35"/>
    <w:rsid w:val="0001480C"/>
    <w:rsid w:val="00016099"/>
    <w:rsid w:val="00017DC2"/>
    <w:rsid w:val="00021522"/>
    <w:rsid w:val="00023471"/>
    <w:rsid w:val="00023F13"/>
    <w:rsid w:val="0003012E"/>
    <w:rsid w:val="00030634"/>
    <w:rsid w:val="000319C1"/>
    <w:rsid w:val="00031A8B"/>
    <w:rsid w:val="00031BCA"/>
    <w:rsid w:val="00031DF5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35E9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251C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693B"/>
    <w:rsid w:val="0014026F"/>
    <w:rsid w:val="00147A47"/>
    <w:rsid w:val="00147AA1"/>
    <w:rsid w:val="001520CF"/>
    <w:rsid w:val="0015667C"/>
    <w:rsid w:val="00157110"/>
    <w:rsid w:val="0015742A"/>
    <w:rsid w:val="001578C3"/>
    <w:rsid w:val="00157DA1"/>
    <w:rsid w:val="00163147"/>
    <w:rsid w:val="00164C57"/>
    <w:rsid w:val="00164C9D"/>
    <w:rsid w:val="00167939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63E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32EA"/>
    <w:rsid w:val="001F6616"/>
    <w:rsid w:val="0020276C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01DB"/>
    <w:rsid w:val="00290AC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3716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57EC"/>
    <w:rsid w:val="003E0D1A"/>
    <w:rsid w:val="003E2DA3"/>
    <w:rsid w:val="003F020D"/>
    <w:rsid w:val="003F03D9"/>
    <w:rsid w:val="003F2FBE"/>
    <w:rsid w:val="003F318D"/>
    <w:rsid w:val="003F3E8E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CD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36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9A0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B3E"/>
    <w:rsid w:val="005A669D"/>
    <w:rsid w:val="005A75D8"/>
    <w:rsid w:val="005B10F5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67D2D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4C09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154"/>
    <w:rsid w:val="006F6311"/>
    <w:rsid w:val="00701952"/>
    <w:rsid w:val="00702556"/>
    <w:rsid w:val="0070277E"/>
    <w:rsid w:val="00704156"/>
    <w:rsid w:val="007069FC"/>
    <w:rsid w:val="00711221"/>
    <w:rsid w:val="00712675"/>
    <w:rsid w:val="0071366F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56"/>
    <w:rsid w:val="00736A64"/>
    <w:rsid w:val="00737811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4DD"/>
    <w:rsid w:val="00770F6B"/>
    <w:rsid w:val="00771883"/>
    <w:rsid w:val="00776DC2"/>
    <w:rsid w:val="00780122"/>
    <w:rsid w:val="0078214B"/>
    <w:rsid w:val="0078498A"/>
    <w:rsid w:val="007921EC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11E"/>
    <w:rsid w:val="007B4F5D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3583"/>
    <w:rsid w:val="00817429"/>
    <w:rsid w:val="00821514"/>
    <w:rsid w:val="00821E35"/>
    <w:rsid w:val="00824591"/>
    <w:rsid w:val="00824AED"/>
    <w:rsid w:val="00827820"/>
    <w:rsid w:val="00831B8B"/>
    <w:rsid w:val="00833766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CB0"/>
    <w:rsid w:val="008B4E13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5FF2"/>
    <w:rsid w:val="008E78A3"/>
    <w:rsid w:val="008F0654"/>
    <w:rsid w:val="008F06CB"/>
    <w:rsid w:val="008F2E83"/>
    <w:rsid w:val="008F59CA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534E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643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0AA"/>
    <w:rsid w:val="00AC4EA1"/>
    <w:rsid w:val="00AC5381"/>
    <w:rsid w:val="00AC5920"/>
    <w:rsid w:val="00AD0E65"/>
    <w:rsid w:val="00AD2BF2"/>
    <w:rsid w:val="00AD4E90"/>
    <w:rsid w:val="00AD5422"/>
    <w:rsid w:val="00AE3D0A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563B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37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2502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103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558D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504A"/>
    <w:rsid w:val="00E060BC"/>
    <w:rsid w:val="00E06549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475E4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3FAC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60BE"/>
    <w:rsid w:val="00EC0F5A"/>
    <w:rsid w:val="00EC4265"/>
    <w:rsid w:val="00EC45F6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745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5DA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240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80360"/>
    <w:pPr>
      <w:spacing w:after="120" w:line="24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BF437E"/>
    <w:pPr>
      <w:spacing w:after="0"/>
      <w:ind w:left="708"/>
      <w:jc w:val="left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80360"/>
    <w:pPr>
      <w:spacing w:after="120" w:line="24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BF437E"/>
    <w:pPr>
      <w:spacing w:after="0"/>
      <w:ind w:left="708"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C8D~1.ZIE\AppData\Local\Temp\Rar$DIa0.072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DB30-4DBB-49EB-B0F2-E7115AAF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5</Pages>
  <Words>1074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Zielińska Olga</dc:creator>
  <cp:lastModifiedBy>NIL_KM</cp:lastModifiedBy>
  <cp:revision>2</cp:revision>
  <cp:lastPrinted>2012-04-23T06:39:00Z</cp:lastPrinted>
  <dcterms:created xsi:type="dcterms:W3CDTF">2015-12-23T10:54:00Z</dcterms:created>
  <dcterms:modified xsi:type="dcterms:W3CDTF">2015-12-23T10:54:00Z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