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4" w:rsidRPr="006B7484" w:rsidRDefault="006B7484" w:rsidP="006B7484">
      <w:pPr>
        <w:pStyle w:val="OZNRODZAKTUtznustawalubrozporzdzenieiorganwydajcy"/>
      </w:pPr>
      <w:bookmarkStart w:id="0" w:name="_GoBack"/>
      <w:bookmarkEnd w:id="0"/>
      <w:r w:rsidRPr="006B7484">
        <w:t>ROZPORZĄDZENIE</w:t>
      </w:r>
    </w:p>
    <w:p w:rsidR="006B7484" w:rsidRPr="006B7484" w:rsidRDefault="006B7484" w:rsidP="006B7484">
      <w:pPr>
        <w:pStyle w:val="OZNRODZAKTUtznustawalubrozporzdzenieiorganwydajcy"/>
      </w:pPr>
      <w:r w:rsidRPr="006B7484">
        <w:t>MINISTRA ZDROWIA</w:t>
      </w:r>
      <w:r w:rsidRPr="000347FD">
        <w:rPr>
          <w:rStyle w:val="IGPindeksgrnyipogrubienie"/>
        </w:rPr>
        <w:footnoteReference w:id="1"/>
      </w:r>
      <w:r w:rsidRPr="000347FD">
        <w:rPr>
          <w:rStyle w:val="IGPindeksgrnyipogrubienie"/>
        </w:rPr>
        <w:t>)</w:t>
      </w:r>
    </w:p>
    <w:p w:rsidR="006B7484" w:rsidRPr="006B7484" w:rsidRDefault="006B7484" w:rsidP="006B7484">
      <w:pPr>
        <w:pStyle w:val="DATAAKTUdatauchwalenialubwydaniaaktu"/>
      </w:pPr>
      <w:r w:rsidRPr="006B7484">
        <w:t>z dnia ..... 2015 r.</w:t>
      </w:r>
    </w:p>
    <w:p w:rsidR="006B7484" w:rsidRPr="006B7484" w:rsidRDefault="006B7484" w:rsidP="006B7484">
      <w:pPr>
        <w:pStyle w:val="TYTUAKTUprzedmiotregulacjiustawylubrozporzdzenia"/>
      </w:pPr>
      <w:r w:rsidRPr="006B7484">
        <w:t>w sprawie kryteriów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zdarzeń z wyrobami, sposobu zgłasz</w:t>
      </w:r>
      <w:smartTag w:uri="urn:schemas-microsoft-com:office:smarttags" w:element="PersonName">
        <w:r w:rsidRPr="006B7484">
          <w:t>ania</w:t>
        </w:r>
      </w:smartTag>
      <w:r w:rsidRPr="006B7484">
        <w:t xml:space="preserve"> incydentów medycznych i działań z zakresu bezpieczeństwa wyrobów</w:t>
      </w:r>
    </w:p>
    <w:p w:rsidR="006B7484" w:rsidRPr="006B7484" w:rsidRDefault="006B7484" w:rsidP="006B7484">
      <w:pPr>
        <w:pStyle w:val="NIEARTTEKSTtekstnieartykuowanynppodstprawnarozplubpreambua"/>
      </w:pPr>
      <w:r w:rsidRPr="006B7484">
        <w:t>Na podstawie art. 85 ustawy z dnia 20 maja 2010 r. o wyrobach medycznych (Dz. U.</w:t>
      </w:r>
      <w:r w:rsidR="00991806" w:rsidRPr="006B7484">
        <w:t xml:space="preserve"> z</w:t>
      </w:r>
      <w:r w:rsidR="00991806">
        <w:t xml:space="preserve"> 2015 r. poz. 876 i </w:t>
      </w:r>
      <w:r w:rsidR="00102C8F">
        <w:t>1918</w:t>
      </w:r>
      <w:r w:rsidRPr="006B7484">
        <w:t>) zarządza się, co następuje:</w:t>
      </w:r>
    </w:p>
    <w:p w:rsidR="006B7484" w:rsidRPr="006B7484" w:rsidRDefault="006B7484" w:rsidP="006B7484">
      <w:pPr>
        <w:pStyle w:val="ARTartustawynprozporzdzenia"/>
        <w:keepNext/>
      </w:pPr>
      <w:r w:rsidRPr="006B7484">
        <w:rPr>
          <w:rStyle w:val="Ppogrubienie"/>
        </w:rPr>
        <w:t>§ 1.</w:t>
      </w:r>
      <w:r>
        <w:t> </w:t>
      </w:r>
      <w:r w:rsidRPr="006B7484">
        <w:t>Rozporządzenie określa:</w:t>
      </w:r>
    </w:p>
    <w:p w:rsidR="006B7484" w:rsidRPr="006B7484" w:rsidRDefault="006B7484" w:rsidP="006B7484">
      <w:pPr>
        <w:pStyle w:val="PKTpunkt"/>
      </w:pPr>
      <w:r w:rsidRPr="006B7484">
        <w:t>1)</w:t>
      </w:r>
      <w:r>
        <w:tab/>
      </w:r>
      <w:r w:rsidRPr="006B7484">
        <w:t>kryteria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zdarzeń z wyrobami i incydentów medycznych;</w:t>
      </w:r>
    </w:p>
    <w:p w:rsidR="006B7484" w:rsidRPr="006B7484" w:rsidRDefault="006B7484" w:rsidP="006B7484">
      <w:pPr>
        <w:pStyle w:val="PKTpunkt"/>
      </w:pPr>
      <w:r w:rsidRPr="006B7484">
        <w:t>2)</w:t>
      </w:r>
      <w:r>
        <w:tab/>
      </w:r>
      <w:r w:rsidRPr="006B7484">
        <w:t>wzór formularza zgłoszenia incydentu medycznego;</w:t>
      </w:r>
    </w:p>
    <w:p w:rsidR="006B7484" w:rsidRPr="006B7484" w:rsidRDefault="006B7484" w:rsidP="006B7484">
      <w:pPr>
        <w:pStyle w:val="PKTpunkt"/>
      </w:pPr>
      <w:r w:rsidRPr="006B7484">
        <w:t>3)</w:t>
      </w:r>
      <w:r>
        <w:tab/>
      </w:r>
      <w:r w:rsidRPr="006B7484">
        <w:t>wzór formularza raportu wytwórcy o incydencie medycznym;</w:t>
      </w:r>
    </w:p>
    <w:p w:rsidR="006B7484" w:rsidRPr="006B7484" w:rsidRDefault="006B7484" w:rsidP="006B7484">
      <w:pPr>
        <w:pStyle w:val="PKTpunkt"/>
      </w:pPr>
      <w:r w:rsidRPr="006B7484">
        <w:t>4)</w:t>
      </w:r>
      <w:r>
        <w:tab/>
      </w:r>
      <w:r w:rsidRPr="006B7484">
        <w:t>wzór formularza raportu o FSCA;</w:t>
      </w:r>
    </w:p>
    <w:p w:rsidR="006B7484" w:rsidRPr="006B7484" w:rsidRDefault="006B7484" w:rsidP="006B7484">
      <w:pPr>
        <w:pStyle w:val="PKTpunkt"/>
      </w:pPr>
      <w:r w:rsidRPr="006B7484">
        <w:t>5)</w:t>
      </w:r>
      <w:r>
        <w:tab/>
      </w:r>
      <w:r w:rsidRPr="006B7484">
        <w:t>wzór notatki bezpieczeństwa;</w:t>
      </w:r>
    </w:p>
    <w:p w:rsidR="006B7484" w:rsidRPr="006B7484" w:rsidRDefault="006B7484" w:rsidP="006B7484">
      <w:pPr>
        <w:pStyle w:val="PKTpunkt"/>
      </w:pPr>
      <w:r w:rsidRPr="006B7484">
        <w:t>6)</w:t>
      </w:r>
      <w:r>
        <w:tab/>
      </w:r>
      <w:r w:rsidRPr="006B7484">
        <w:t>wzór formularza okresowego raportu zbiorczego wytwórcy;</w:t>
      </w:r>
    </w:p>
    <w:p w:rsidR="006B7484" w:rsidRPr="006B7484" w:rsidRDefault="006B7484" w:rsidP="006B7484">
      <w:pPr>
        <w:pStyle w:val="PKTpunkt"/>
      </w:pPr>
      <w:r w:rsidRPr="006B7484">
        <w:t>7)</w:t>
      </w:r>
      <w:r>
        <w:tab/>
      </w:r>
      <w:r w:rsidRPr="006B7484">
        <w:t>wzór formularza raportu wytwórcy o trendzie;</w:t>
      </w:r>
    </w:p>
    <w:p w:rsidR="006B7484" w:rsidRPr="006B7484" w:rsidRDefault="006B7484" w:rsidP="006B7484">
      <w:pPr>
        <w:pStyle w:val="PKTpunkt"/>
      </w:pPr>
      <w:r w:rsidRPr="006B7484">
        <w:t>8)</w:t>
      </w:r>
      <w:r>
        <w:tab/>
      </w:r>
      <w:r w:rsidRPr="006B7484">
        <w:t>sposób sporządz</w:t>
      </w:r>
      <w:smartTag w:uri="urn:schemas-microsoft-com:office:smarttags" w:element="PersonName">
        <w:r w:rsidRPr="006B7484">
          <w:t>ania</w:t>
        </w:r>
      </w:smartTag>
      <w:r w:rsidRPr="006B7484">
        <w:t xml:space="preserve"> raportu o błędach użytkowych;</w:t>
      </w:r>
    </w:p>
    <w:p w:rsidR="006B7484" w:rsidRPr="006B7484" w:rsidRDefault="006B7484" w:rsidP="006B7484">
      <w:pPr>
        <w:pStyle w:val="PKTpunkt"/>
      </w:pPr>
      <w:r w:rsidRPr="006B7484">
        <w:t>9)</w:t>
      </w:r>
      <w:r>
        <w:tab/>
      </w:r>
      <w:r w:rsidRPr="006B7484">
        <w:t>wzór formularza NCAR;</w:t>
      </w:r>
    </w:p>
    <w:p w:rsidR="006B7484" w:rsidRPr="006B7484" w:rsidRDefault="006B7484" w:rsidP="006B7484">
      <w:pPr>
        <w:pStyle w:val="PKTpunkt"/>
      </w:pPr>
      <w:r w:rsidRPr="006B7484">
        <w:t>10)</w:t>
      </w:r>
      <w:r>
        <w:tab/>
      </w:r>
      <w:r w:rsidRPr="006B7484">
        <w:t>sposób przesył</w:t>
      </w:r>
      <w:smartTag w:uri="urn:schemas-microsoft-com:office:smarttags" w:element="PersonName">
        <w:r w:rsidRPr="006B7484">
          <w:t>ania</w:t>
        </w:r>
      </w:smartTag>
      <w:r w:rsidRPr="006B7484">
        <w:t xml:space="preserve"> zgłoszeń, raportów i notatek, o których mowa w pkt 2–9;</w:t>
      </w:r>
    </w:p>
    <w:p w:rsidR="006B7484" w:rsidRPr="006B7484" w:rsidRDefault="006B7484" w:rsidP="006B7484">
      <w:pPr>
        <w:pStyle w:val="PKTpunkt"/>
      </w:pPr>
      <w:r w:rsidRPr="006B7484">
        <w:t>11)</w:t>
      </w:r>
      <w:r>
        <w:tab/>
      </w:r>
      <w:r w:rsidRPr="006B7484">
        <w:t>szczegółowy tryb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podmiotów biorących udział w dział</w:t>
      </w:r>
      <w:smartTag w:uri="urn:schemas-microsoft-com:office:smarttags" w:element="PersonName">
        <w:r w:rsidRPr="006B7484">
          <w:t>ania</w:t>
        </w:r>
      </w:smartTag>
      <w:r w:rsidRPr="006B7484">
        <w:t>ch dotyczących incydentu medycznego, FSCA i innych dział</w:t>
      </w:r>
      <w:smartTag w:uri="urn:schemas-microsoft-com:office:smarttags" w:element="PersonName">
        <w:r w:rsidRPr="006B7484">
          <w:t>ania</w:t>
        </w:r>
      </w:smartTag>
      <w:r w:rsidRPr="006B7484">
        <w:t>ch z zakresu bezpieczeństwa wyrobów.</w:t>
      </w:r>
    </w:p>
    <w:p w:rsidR="006B7484" w:rsidRPr="006B7484" w:rsidRDefault="006B7484" w:rsidP="006B7484">
      <w:pPr>
        <w:pStyle w:val="ARTartustawynprozporzdzenia"/>
        <w:keepNext/>
      </w:pPr>
      <w:r w:rsidRPr="006B7484">
        <w:rPr>
          <w:rStyle w:val="Ppogrubienie"/>
        </w:rPr>
        <w:lastRenderedPageBreak/>
        <w:t>§ 2.</w:t>
      </w:r>
      <w:r>
        <w:t> </w:t>
      </w:r>
      <w:r w:rsidRPr="006B7484">
        <w:t>1. Zdarzenie z wyrobem podlega raportowaniu, jeżeli spełnia łącznie następujące kryteria raportow</w:t>
      </w:r>
      <w:smartTag w:uri="urn:schemas-microsoft-com:office:smarttags" w:element="PersonName">
        <w:r w:rsidRPr="006B7484">
          <w:t>ania</w:t>
        </w:r>
      </w:smartTag>
      <w:r w:rsidRPr="006B7484">
        <w:t>:</w:t>
      </w:r>
    </w:p>
    <w:p w:rsidR="006B7484" w:rsidRPr="006B7484" w:rsidRDefault="006B7484" w:rsidP="006B7484">
      <w:pPr>
        <w:pStyle w:val="PKTpunkt"/>
        <w:keepNext/>
      </w:pPr>
      <w:r w:rsidRPr="006B7484">
        <w:t>1)</w:t>
      </w:r>
      <w:r>
        <w:tab/>
      </w:r>
      <w:r w:rsidRPr="006B7484">
        <w:t>wystąpiło zdarzenie lub stwierdzono sytuację, któr</w:t>
      </w:r>
      <w:r w:rsidR="00990E1A">
        <w:t>a</w:t>
      </w:r>
      <w:r w:rsidRPr="006B7484">
        <w:t xml:space="preserve"> </w:t>
      </w:r>
      <w:r w:rsidR="00990E1A">
        <w:t>mogła lub może doprowadzić</w:t>
      </w:r>
      <w:r w:rsidR="00990E1A" w:rsidRPr="00990E1A">
        <w:t xml:space="preserve"> do zdarzenia</w:t>
      </w:r>
      <w:r w:rsidRPr="006B7484">
        <w:t>, w szczególności gdy wyniki badań wyrobu, analiza informacji dostarczonych wraz z wyrobem lub informacje naukowe wskazują czynnik, który mógł lub może doprowadzić do</w:t>
      </w:r>
      <w:r w:rsidR="00990E1A">
        <w:t xml:space="preserve"> </w:t>
      </w:r>
      <w:r w:rsidR="00990E1A" w:rsidRPr="00990E1A">
        <w:t>zdarzenia</w:t>
      </w:r>
      <w:r w:rsidR="001D2CB4">
        <w:t>;</w:t>
      </w:r>
    </w:p>
    <w:p w:rsidR="006B7484" w:rsidRPr="006B7484" w:rsidRDefault="006B7484" w:rsidP="006B7484">
      <w:pPr>
        <w:pStyle w:val="PKTpunkt"/>
        <w:keepNext/>
      </w:pPr>
      <w:r w:rsidRPr="006B7484">
        <w:t>2)</w:t>
      </w:r>
      <w:r>
        <w:tab/>
      </w:r>
      <w:r w:rsidRPr="006B7484">
        <w:t>istnieje uzasadnione podejrzenie, że zdarzenie lub sytuację mógł lub może spowodować wyrób</w:t>
      </w:r>
      <w:r w:rsidR="001D2CB4">
        <w:t>;</w:t>
      </w:r>
    </w:p>
    <w:p w:rsidR="006B7484" w:rsidRPr="006B7484" w:rsidRDefault="006B7484" w:rsidP="006B7484">
      <w:pPr>
        <w:pStyle w:val="PKTpunkt"/>
      </w:pPr>
      <w:r w:rsidRPr="006B7484">
        <w:t>3)</w:t>
      </w:r>
      <w:r>
        <w:tab/>
      </w:r>
      <w:r w:rsidRPr="006B7484">
        <w:t>doprowadziło, mogło lub może doprowadzić do śmierci lub poważnego pogorszenia stanu zdrowia pacjenta, użytkownika lub</w:t>
      </w:r>
      <w:r w:rsidR="001D2CB4">
        <w:t>,</w:t>
      </w:r>
      <w:r w:rsidRPr="006B7484">
        <w:t xml:space="preserve"> w przypadku wyrobu medycznego do diagnostyki in vitro</w:t>
      </w:r>
      <w:r w:rsidR="001D2CB4">
        <w:t>,</w:t>
      </w:r>
      <w:r w:rsidRPr="006B7484">
        <w:t xml:space="preserve"> pośrednio także innej osoby.</w:t>
      </w:r>
    </w:p>
    <w:p w:rsidR="006B7484" w:rsidRPr="006B7484" w:rsidRDefault="006B7484" w:rsidP="006B7484">
      <w:pPr>
        <w:pStyle w:val="USTustnpkodeksu"/>
        <w:keepNext/>
      </w:pPr>
      <w:r w:rsidRPr="006B7484">
        <w:t>2.</w:t>
      </w:r>
      <w:r>
        <w:t> </w:t>
      </w:r>
      <w:r w:rsidRPr="006B7484">
        <w:t>Obowiązek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nie dotyczy</w:t>
      </w:r>
      <w:r w:rsidR="0085457B">
        <w:t xml:space="preserve"> następujących</w:t>
      </w:r>
      <w:r w:rsidRPr="006B7484">
        <w:t xml:space="preserve"> zdarzeń z wyrobem:</w:t>
      </w:r>
    </w:p>
    <w:p w:rsidR="006B7484" w:rsidRPr="006B7484" w:rsidRDefault="006B7484" w:rsidP="006B7484">
      <w:pPr>
        <w:pStyle w:val="PKTpunkt"/>
      </w:pPr>
      <w:r w:rsidRPr="006B7484">
        <w:t>1)</w:t>
      </w:r>
      <w:r>
        <w:tab/>
      </w:r>
      <w:r w:rsidRPr="006B7484">
        <w:t>niezdatność wyrobu, która jest zawsze możliwa do stwierdzenia i która nie mogłaby być niewykryta przez użytkownika przed użyciem wyrobu;</w:t>
      </w:r>
    </w:p>
    <w:p w:rsidR="006B7484" w:rsidRPr="006B7484" w:rsidRDefault="006B7484" w:rsidP="006B7484">
      <w:pPr>
        <w:pStyle w:val="PKTpunkt"/>
      </w:pPr>
      <w:r w:rsidRPr="006B7484">
        <w:t>2)</w:t>
      </w:r>
      <w:r>
        <w:tab/>
      </w:r>
      <w:r w:rsidRPr="006B7484">
        <w:t>zdarzenie wynikające ze stanu, w którym pacjent znajdował się przed użyciem wyrobu lub w którym znalazł się w trakcie stosow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wyrobu, o ile wytwórca powziął informację, że wyrób działał, tak jak powinien, i nie spowodował, ani nie przyczynił się do śmierci lub poważnego pogorszenia stanu zdrowia;</w:t>
      </w:r>
    </w:p>
    <w:p w:rsidR="006B7484" w:rsidRPr="006B7484" w:rsidRDefault="006B7484" w:rsidP="006B7484">
      <w:pPr>
        <w:pStyle w:val="PKTpunkt"/>
      </w:pPr>
      <w:r w:rsidRPr="006B7484">
        <w:t>3)</w:t>
      </w:r>
      <w:r>
        <w:tab/>
      </w:r>
      <w:r w:rsidRPr="006B7484">
        <w:t>zdarzenie wynikające z przekroczenia terminu ważności, czasu lub krotności bezpiecznego używ</w:t>
      </w:r>
      <w:smartTag w:uri="urn:schemas-microsoft-com:office:smarttags" w:element="PersonName">
        <w:r w:rsidRPr="006B7484">
          <w:t>ania</w:t>
        </w:r>
      </w:smartTag>
      <w:r w:rsidRPr="006B7484">
        <w:t xml:space="preserve"> albo terminu okresowego przeglądu lub obsługi serwisowej, podanych w oznakowaniu lub instrukcji używ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wyrobu, jeżeli rodzaj niezdatności jest znany lub spodziewany;</w:t>
      </w:r>
    </w:p>
    <w:p w:rsidR="006B7484" w:rsidRPr="006B7484" w:rsidRDefault="006B7484" w:rsidP="006B7484">
      <w:pPr>
        <w:pStyle w:val="PKTpunkt"/>
      </w:pPr>
      <w:r w:rsidRPr="006B7484">
        <w:t>4)</w:t>
      </w:r>
      <w:r>
        <w:tab/>
      </w:r>
      <w:r w:rsidRPr="006B7484">
        <w:t>zdarzenie, które nie doprowadziło do śmierci lub poważnego pogorszenia stanu zdrowia pacjenta, ponieważ zadziałały, zgodnie z zastosowaną normą lub udokumentowanymi danymi wejściowymi do projektow</w:t>
      </w:r>
      <w:smartTag w:uri="urn:schemas-microsoft-com:office:smarttags" w:element="PersonName">
        <w:r w:rsidRPr="006B7484">
          <w:t>ania</w:t>
        </w:r>
      </w:smartTag>
      <w:r w:rsidRPr="006B7484">
        <w:t>, cechy konstrukcyjne chroniące przed niezdatnością stwarzającą zagrożenie, o ile pacjent nie był narażony na niebezpieczeństwo oraz typ alarmu zastosowanego jako środek ochronny jest powszechnie uznany w przypadku danego rodzaju wyrobów;</w:t>
      </w:r>
    </w:p>
    <w:p w:rsidR="006B7484" w:rsidRPr="006B7484" w:rsidRDefault="006B7484" w:rsidP="006B7484">
      <w:pPr>
        <w:pStyle w:val="PKTpunkt"/>
        <w:keepNext/>
      </w:pPr>
      <w:r w:rsidRPr="006B7484">
        <w:t>5)</w:t>
      </w:r>
      <w:r>
        <w:tab/>
      </w:r>
      <w:r w:rsidRPr="006B7484">
        <w:t>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niepożądane, rozumiane jako każde niekorzystne i niezamierzone działanie wyrobu, które spełniają łącznie następujące warunki:</w:t>
      </w:r>
    </w:p>
    <w:p w:rsidR="006B7484" w:rsidRPr="006B7484" w:rsidRDefault="006B7484" w:rsidP="006B7484">
      <w:pPr>
        <w:pStyle w:val="LITlitera"/>
      </w:pPr>
      <w:r w:rsidRPr="006B7484">
        <w:t>a)</w:t>
      </w:r>
      <w:r>
        <w:tab/>
      </w:r>
      <w:r w:rsidRPr="006B7484">
        <w:t>są wyraźnie określone w oznakowaniu lub instrukcji używ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wyrobu,</w:t>
      </w:r>
    </w:p>
    <w:p w:rsidR="006B7484" w:rsidRPr="006B7484" w:rsidRDefault="006B7484" w:rsidP="006B7484">
      <w:pPr>
        <w:pStyle w:val="LITlitera"/>
      </w:pPr>
      <w:r w:rsidRPr="006B7484">
        <w:t>b)</w:t>
      </w:r>
      <w:r>
        <w:tab/>
      </w:r>
      <w:r w:rsidRPr="006B7484">
        <w:t xml:space="preserve">są dobrze znane z piśmiennictwa naukowego, badań klinicznych lub praktyki klinicznej jako przewidywalne, oraz określono, jakościowo lub ilościowo, </w:t>
      </w:r>
      <w:r w:rsidRPr="006B7484">
        <w:lastRenderedPageBreak/>
        <w:t>prawdopodobieństwo ich wystąpienia podczas zgodnego z przeznaczeniem użycia i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wyrobu,</w:t>
      </w:r>
    </w:p>
    <w:p w:rsidR="006B7484" w:rsidRPr="006B7484" w:rsidRDefault="006B7484" w:rsidP="006B7484">
      <w:pPr>
        <w:pStyle w:val="LITlitera"/>
      </w:pPr>
      <w:r w:rsidRPr="006B7484">
        <w:t>c)</w:t>
      </w:r>
      <w:r>
        <w:tab/>
      </w:r>
      <w:r w:rsidRPr="006B7484">
        <w:t>zanim wystąpiły, zostały opisane w dokumentacji wyrobu, w tym oszacowano ich ryzyko,</w:t>
      </w:r>
    </w:p>
    <w:p w:rsidR="006B7484" w:rsidRPr="006B7484" w:rsidRDefault="006B7484" w:rsidP="006B7484">
      <w:pPr>
        <w:pStyle w:val="LITlitera"/>
      </w:pPr>
      <w:r w:rsidRPr="006B7484">
        <w:t>d)</w:t>
      </w:r>
      <w:r>
        <w:tab/>
      </w:r>
      <w:r w:rsidRPr="006B7484">
        <w:t>są klinicznie akceptowalne, gdyż korzyści z zastosow</w:t>
      </w:r>
      <w:smartTag w:uri="urn:schemas-microsoft-com:office:smarttags" w:element="PersonName">
        <w:r w:rsidRPr="006B7484">
          <w:t>ania</w:t>
        </w:r>
      </w:smartTag>
      <w:r w:rsidRPr="006B7484">
        <w:t xml:space="preserve"> danego wyrobu u pacjenta przeważają nad ryzykiem związanym z dział</w:t>
      </w:r>
      <w:smartTag w:uri="urn:schemas-microsoft-com:office:smarttags" w:element="PersonName">
        <w:r w:rsidRPr="006B7484">
          <w:t>ania</w:t>
        </w:r>
      </w:smartTag>
      <w:r w:rsidRPr="006B7484">
        <w:t>mi niepożądanymi;</w:t>
      </w:r>
    </w:p>
    <w:p w:rsidR="006B7484" w:rsidRPr="006B7484" w:rsidRDefault="006B7484" w:rsidP="006B7484">
      <w:pPr>
        <w:pStyle w:val="PKTpunkt"/>
      </w:pPr>
      <w:r w:rsidRPr="006B7484">
        <w:t>6)</w:t>
      </w:r>
      <w:r>
        <w:tab/>
      </w:r>
      <w:r w:rsidRPr="006B7484">
        <w:t>zdarzenie, które nie doprowadziło do śmierci lub poważnego pogorszenia stanu zdrowia i w przypadku którego oceniono, że ryzyko śmierci lub poważnego pogorszenia stanu zdrowia jest bardzo małe oraz, jeżeli takie ryzyko w ocenie ryzyka zostało określone i udokumentowane jako klinicznie akceptowalne.</w:t>
      </w:r>
    </w:p>
    <w:p w:rsidR="006B7484" w:rsidRPr="006B7484" w:rsidRDefault="006B7484" w:rsidP="006B7484">
      <w:pPr>
        <w:pStyle w:val="USTustnpkodeksu"/>
      </w:pPr>
      <w:r w:rsidRPr="006B7484">
        <w:t>3.</w:t>
      </w:r>
      <w:r>
        <w:t> </w:t>
      </w:r>
      <w:r w:rsidRPr="006B7484">
        <w:t>W przypadku wątpliwości, czy zdarzenie spełnia kryteria raportow</w:t>
      </w:r>
      <w:smartTag w:uri="urn:schemas-microsoft-com:office:smarttags" w:element="PersonName">
        <w:r w:rsidRPr="006B7484">
          <w:t>ania</w:t>
        </w:r>
      </w:smartTag>
      <w:r w:rsidRPr="006B7484">
        <w:t>, należy uznać, że spełnia te kryteria.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3</w:t>
      </w:r>
      <w:r w:rsidRPr="006B7484">
        <w:rPr>
          <w:rStyle w:val="Ppogrubienie"/>
        </w:rPr>
        <w:t>.</w:t>
      </w:r>
      <w:r>
        <w:t> </w:t>
      </w:r>
      <w:r w:rsidRPr="006B7484">
        <w:t>Wzór formularza zgłoszenia incydentu medycznego jest określony w załączniku nr 1 do rozporządzenia.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4</w:t>
      </w:r>
      <w:r w:rsidRPr="006B7484">
        <w:rPr>
          <w:rStyle w:val="Ppogrubienie"/>
        </w:rPr>
        <w:t>.</w:t>
      </w:r>
      <w:r>
        <w:t> </w:t>
      </w:r>
      <w:r w:rsidRPr="006B7484">
        <w:t>Wzór formularza raportu wytwórcy o incydencie medycznym jest określony w załączniku nr 2 do rozporządzenia.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5</w:t>
      </w:r>
      <w:r w:rsidRPr="006B7484">
        <w:rPr>
          <w:rStyle w:val="Ppogrubienie"/>
        </w:rPr>
        <w:t>.</w:t>
      </w:r>
      <w:r>
        <w:t> </w:t>
      </w:r>
      <w:r w:rsidRPr="006B7484">
        <w:t>1. Wzór formularza raportu o FSCA jest określony w załączniku nr 3 do rozporządzenia.</w:t>
      </w:r>
    </w:p>
    <w:p w:rsidR="006B7484" w:rsidRPr="006B7484" w:rsidRDefault="006B7484" w:rsidP="006B7484">
      <w:pPr>
        <w:pStyle w:val="USTustnpkodeksu"/>
      </w:pPr>
      <w:r w:rsidRPr="006B7484">
        <w:t>2.</w:t>
      </w:r>
      <w:r>
        <w:t> </w:t>
      </w:r>
      <w:r w:rsidRPr="006B7484">
        <w:t>Opis FSCA – informacje podstawowe oraz przyczyny podjęcia FSCA – część 7 załącznika nr 3 do rozporządzenia, obejmuje w szczególności:</w:t>
      </w:r>
    </w:p>
    <w:p w:rsidR="006B7484" w:rsidRPr="006B7484" w:rsidRDefault="006B7484" w:rsidP="006B7484">
      <w:pPr>
        <w:pStyle w:val="PKTpunkt"/>
      </w:pPr>
      <w:r>
        <w:t>1)</w:t>
      </w:r>
      <w:r>
        <w:tab/>
      </w:r>
      <w:r w:rsidRPr="006B7484">
        <w:t>odpowiednie części przeprowadzonej analizy ryzyka;</w:t>
      </w:r>
    </w:p>
    <w:p w:rsidR="006B7484" w:rsidRPr="006B7484" w:rsidRDefault="006B7484" w:rsidP="006B7484">
      <w:pPr>
        <w:pStyle w:val="PKTpunkt"/>
      </w:pPr>
      <w:r>
        <w:t>2)</w:t>
      </w:r>
      <w:r>
        <w:tab/>
      </w:r>
      <w:r w:rsidRPr="006B7484">
        <w:t>opis braków lub wadliwego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wyrobu;</w:t>
      </w:r>
    </w:p>
    <w:p w:rsidR="006B7484" w:rsidRPr="006B7484" w:rsidRDefault="006B7484" w:rsidP="006B7484">
      <w:pPr>
        <w:pStyle w:val="PKTpunkt"/>
      </w:pPr>
      <w:r>
        <w:t>3)</w:t>
      </w:r>
      <w:r>
        <w:tab/>
      </w:r>
      <w:r w:rsidRPr="006B7484">
        <w:t>wyjaśnienie potencjalnego zagrożenia związanego z dalszym używaniem wyrobu i ryzyka, jakie stwarza dla pacjenta, użytkownika i innych osób, oraz możliwego ryzyka dla pacjentów związanego z wcześniejszym użyciem wyrobu;</w:t>
      </w:r>
    </w:p>
    <w:p w:rsidR="006B7484" w:rsidRPr="006B7484" w:rsidRDefault="006B7484" w:rsidP="006B7484">
      <w:pPr>
        <w:pStyle w:val="PKTpunkt"/>
      </w:pPr>
      <w:r>
        <w:t>4)</w:t>
      </w:r>
      <w:r>
        <w:tab/>
      </w:r>
      <w:r w:rsidRPr="006B7484">
        <w:t>wyjaśnienie, dlaczego pozostałe wyroby są bezpieczne, jeżeli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dotyczą nie wszystkich wyrobów, a jedynie określonych ich serii lub partii.</w:t>
      </w:r>
    </w:p>
    <w:p w:rsidR="006B7484" w:rsidRPr="006B7484" w:rsidRDefault="006B7484" w:rsidP="006B7484">
      <w:pPr>
        <w:pStyle w:val="USTustnpkodeksu"/>
      </w:pPr>
      <w:r w:rsidRPr="006B7484">
        <w:t>3.</w:t>
      </w:r>
      <w:r>
        <w:t> </w:t>
      </w:r>
      <w:r w:rsidRPr="006B7484">
        <w:t>Opis FSCA – informacje o dział</w:t>
      </w:r>
      <w:smartTag w:uri="urn:schemas-microsoft-com:office:smarttags" w:element="PersonName">
        <w:r w:rsidRPr="006B7484">
          <w:t>ania</w:t>
        </w:r>
      </w:smartTag>
      <w:r w:rsidRPr="006B7484">
        <w:t>ch, które powinien podjąć dystrybutor i użytkownik – część 7 załącznika nr 3 do rozporządzenia</w:t>
      </w:r>
      <w:r w:rsidR="00630781">
        <w:t>,</w:t>
      </w:r>
      <w:r w:rsidRPr="006B7484">
        <w:t xml:space="preserve"> obejmuje zalecenia dotyczące:</w:t>
      </w:r>
    </w:p>
    <w:p w:rsidR="006B7484" w:rsidRPr="006B7484" w:rsidRDefault="006B7484" w:rsidP="006B7484">
      <w:pPr>
        <w:pStyle w:val="PKTpunkt"/>
      </w:pPr>
      <w:r>
        <w:t>1)</w:t>
      </w:r>
      <w:r>
        <w:tab/>
      </w:r>
      <w:r w:rsidRPr="006B7484">
        <w:t>identyfikacji i kwarantanny wyrobów;</w:t>
      </w:r>
    </w:p>
    <w:p w:rsidR="006B7484" w:rsidRPr="006B7484" w:rsidRDefault="006B7484" w:rsidP="006B7484">
      <w:pPr>
        <w:pStyle w:val="PKTpunkt"/>
      </w:pPr>
      <w:r>
        <w:t>2)</w:t>
      </w:r>
      <w:r>
        <w:tab/>
      </w:r>
      <w:r w:rsidRPr="006B7484">
        <w:t>metody zwrac</w:t>
      </w:r>
      <w:smartTag w:uri="urn:schemas-microsoft-com:office:smarttags" w:element="PersonName">
        <w:r w:rsidRPr="006B7484">
          <w:t>ania</w:t>
        </w:r>
      </w:smartTag>
      <w:r w:rsidRPr="006B7484">
        <w:t>, niszczenia lub modyfikacji wyrobów;</w:t>
      </w:r>
    </w:p>
    <w:p w:rsidR="006B7484" w:rsidRPr="006B7484" w:rsidRDefault="006B7484" w:rsidP="006B7484">
      <w:pPr>
        <w:pStyle w:val="PKTpunkt"/>
      </w:pPr>
      <w:r>
        <w:t>3)</w:t>
      </w:r>
      <w:r>
        <w:tab/>
      </w:r>
      <w:r w:rsidRPr="006B7484">
        <w:t>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z pacjentami;</w:t>
      </w:r>
    </w:p>
    <w:p w:rsidR="006B7484" w:rsidRPr="006B7484" w:rsidRDefault="006B7484" w:rsidP="006B7484">
      <w:pPr>
        <w:pStyle w:val="PKTpunkt"/>
      </w:pPr>
      <w:r>
        <w:t>4)</w:t>
      </w:r>
      <w:r>
        <w:tab/>
      </w:r>
      <w:r w:rsidRPr="006B7484">
        <w:t>wskaz</w:t>
      </w:r>
      <w:smartTag w:uri="urn:schemas-microsoft-com:office:smarttags" w:element="PersonName">
        <w:r w:rsidRPr="006B7484">
          <w:t>ania</w:t>
        </w:r>
      </w:smartTag>
      <w:r w:rsidRPr="006B7484">
        <w:t xml:space="preserve"> konieczności:</w:t>
      </w:r>
    </w:p>
    <w:p w:rsidR="006B7484" w:rsidRPr="006B7484" w:rsidRDefault="006B7484" w:rsidP="006B7484">
      <w:pPr>
        <w:pStyle w:val="LITlitera"/>
      </w:pPr>
      <w:r w:rsidRPr="006B7484">
        <w:lastRenderedPageBreak/>
        <w:t>a)</w:t>
      </w:r>
      <w:r w:rsidRPr="006B7484">
        <w:tab/>
        <w:t>dostarczenia notatki bezpieczeństwa wszystkim osobom, które powinny ją otrzymać,</w:t>
      </w:r>
    </w:p>
    <w:p w:rsidR="006B7484" w:rsidRPr="006B7484" w:rsidRDefault="006B7484" w:rsidP="006B7484">
      <w:pPr>
        <w:pStyle w:val="LITlitera"/>
      </w:pPr>
      <w:r w:rsidRPr="006B7484">
        <w:t>b)</w:t>
      </w:r>
      <w:r w:rsidRPr="006B7484">
        <w:tab/>
        <w:t>stosow</w:t>
      </w:r>
      <w:smartTag w:uri="urn:schemas-microsoft-com:office:smarttags" w:element="PersonName">
        <w:r w:rsidRPr="006B7484">
          <w:t>ania</w:t>
        </w:r>
      </w:smartTag>
      <w:r w:rsidRPr="006B7484">
        <w:t xml:space="preserve"> się do zaleceń określonych w notatce bezpieczeństwa przez wskazany okres,</w:t>
      </w:r>
    </w:p>
    <w:p w:rsidR="006B7484" w:rsidRPr="006B7484" w:rsidRDefault="006B7484" w:rsidP="006B7484">
      <w:pPr>
        <w:pStyle w:val="LITlitera"/>
      </w:pPr>
      <w:r w:rsidRPr="006B7484">
        <w:t>c)</w:t>
      </w:r>
      <w:r w:rsidRPr="006B7484">
        <w:tab/>
        <w:t>przesł</w:t>
      </w:r>
      <w:smartTag w:uri="urn:schemas-microsoft-com:office:smarttags" w:element="PersonName">
        <w:r w:rsidRPr="006B7484">
          <w:t>ania</w:t>
        </w:r>
      </w:smartTag>
      <w:r w:rsidRPr="006B7484">
        <w:t xml:space="preserve"> wytwórcy informacji o wszystkich przekazanych do innych instytucji wyrobach, których dotyczy FSCA, oraz o konieczności dostarczenia tym instytucjom kopii notatki bezpieczeństwa.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6</w:t>
      </w:r>
      <w:r w:rsidRPr="006B7484">
        <w:rPr>
          <w:rStyle w:val="Ppogrubienie"/>
        </w:rPr>
        <w:t>.</w:t>
      </w:r>
      <w:r w:rsidRPr="006B7484">
        <w:t> Wzór notatki bezpieczeństwa jest określony w załączniku nr 4 do rozporządzenia.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7</w:t>
      </w:r>
      <w:r w:rsidRPr="006B7484">
        <w:rPr>
          <w:rStyle w:val="Ppogrubienie"/>
        </w:rPr>
        <w:t>.</w:t>
      </w:r>
      <w:r w:rsidRPr="006B7484">
        <w:t> Wzór formularza okresowego raportu zbiorczego wytwórcy jest określony w załączniku nr 5 do rozporządzenia.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8</w:t>
      </w:r>
      <w:r w:rsidRPr="006B7484">
        <w:rPr>
          <w:rStyle w:val="Ppogrubienie"/>
        </w:rPr>
        <w:t>.</w:t>
      </w:r>
      <w:r w:rsidRPr="006B7484">
        <w:t> Wzór formularza raportu wytwórcy o trendzie jest określony w załączniku nr 6 do rozporządzenia.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</w:t>
      </w:r>
      <w:r w:rsidR="001D2CB4">
        <w:rPr>
          <w:rStyle w:val="Ppogrubienie"/>
        </w:rPr>
        <w:t>9</w:t>
      </w:r>
      <w:r w:rsidRPr="006B7484">
        <w:rPr>
          <w:rStyle w:val="Ppogrubienie"/>
        </w:rPr>
        <w:t>.</w:t>
      </w:r>
      <w:r w:rsidRPr="006B7484">
        <w:t> Wzór formularza NCAR jest określony w załączniku nr 7 do rozporządzenia.</w:t>
      </w:r>
    </w:p>
    <w:p w:rsidR="006B7484" w:rsidRPr="006B7484" w:rsidRDefault="006B7484" w:rsidP="000C2F74">
      <w:pPr>
        <w:pStyle w:val="ARTartustawynprozporzdzenia"/>
      </w:pPr>
      <w:r w:rsidRPr="006B7484">
        <w:rPr>
          <w:rStyle w:val="Ppogrubienie"/>
        </w:rPr>
        <w:t>§ 1</w:t>
      </w:r>
      <w:r w:rsidR="001D2CB4">
        <w:rPr>
          <w:rStyle w:val="Ppogrubienie"/>
        </w:rPr>
        <w:t>0</w:t>
      </w:r>
      <w:r w:rsidRPr="006B7484">
        <w:rPr>
          <w:rStyle w:val="Ppogrubienie"/>
        </w:rPr>
        <w:t>.</w:t>
      </w:r>
      <w:r>
        <w:t> </w:t>
      </w:r>
      <w:r w:rsidRPr="006B7484">
        <w:t xml:space="preserve">Jeżeli raport o błędach użytkowych jest zgłaszany na formularzu raportu wytwórcy o incydencie medycznym, to podmiot sporządzający raport wypełnia </w:t>
      </w:r>
      <w:r w:rsidR="0084560D">
        <w:t>następujące pola</w:t>
      </w:r>
      <w:r w:rsidRPr="006B7484">
        <w:t>:</w:t>
      </w:r>
    </w:p>
    <w:p w:rsidR="006B7484" w:rsidRPr="006B7484" w:rsidRDefault="006B7484" w:rsidP="006B7484">
      <w:pPr>
        <w:pStyle w:val="PKTpunkt"/>
      </w:pPr>
      <w:r>
        <w:t>1)</w:t>
      </w:r>
      <w:r>
        <w:tab/>
      </w:r>
      <w:r w:rsidRPr="006B7484">
        <w:t xml:space="preserve">w części 1 załącznika nr 2, w polu </w:t>
      </w:r>
      <w:r>
        <w:t>„</w:t>
      </w:r>
      <w:r w:rsidRPr="006B7484">
        <w:t>Typ raportu</w:t>
      </w:r>
      <w:r>
        <w:t>”</w:t>
      </w:r>
      <w:r w:rsidRPr="006B7484">
        <w:t xml:space="preserve"> wybiera pozycję </w:t>
      </w:r>
      <w:r>
        <w:t>„</w:t>
      </w:r>
      <w:r w:rsidRPr="006B7484">
        <w:t>Raport Wstępny łącznie z Raportem Końcowym</w:t>
      </w:r>
      <w:r>
        <w:t>”</w:t>
      </w:r>
      <w:r w:rsidRPr="006B7484">
        <w:t>;</w:t>
      </w:r>
    </w:p>
    <w:p w:rsidR="006B7484" w:rsidRPr="006B7484" w:rsidRDefault="006B7484" w:rsidP="006B7484">
      <w:pPr>
        <w:pStyle w:val="PKTpunkt"/>
      </w:pPr>
      <w:r>
        <w:t>2)</w:t>
      </w:r>
      <w:r>
        <w:tab/>
      </w:r>
      <w:r w:rsidRPr="006B7484">
        <w:t xml:space="preserve">w części 7 załącznika nr 2 w polu </w:t>
      </w:r>
      <w:r>
        <w:t>„</w:t>
      </w:r>
      <w:r w:rsidRPr="006B7484">
        <w:t>Użycie wyrobu</w:t>
      </w:r>
      <w:r>
        <w:t>”</w:t>
      </w:r>
      <w:r w:rsidRPr="006B7484">
        <w:t xml:space="preserve"> </w:t>
      </w:r>
      <w:r w:rsidR="0084560D" w:rsidRPr="006B7484">
        <w:t xml:space="preserve">wybiera pozycję </w:t>
      </w:r>
      <w:r>
        <w:t>„</w:t>
      </w:r>
      <w:r w:rsidR="0084560D">
        <w:t>b</w:t>
      </w:r>
      <w:r w:rsidRPr="006B7484">
        <w:t>łąd użytkowy</w:t>
      </w:r>
      <w:r>
        <w:t>”</w:t>
      </w:r>
      <w:r w:rsidRPr="006B7484">
        <w:t>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1</w:t>
      </w:r>
      <w:r w:rsidR="00EE48F7">
        <w:rPr>
          <w:rStyle w:val="Ppogrubienie"/>
        </w:rPr>
        <w:t>1</w:t>
      </w:r>
      <w:r w:rsidRPr="006B7484">
        <w:rPr>
          <w:rStyle w:val="Ppogrubienie"/>
        </w:rPr>
        <w:t>.</w:t>
      </w:r>
      <w:r>
        <w:t> </w:t>
      </w:r>
      <w:r w:rsidRPr="006B7484">
        <w:t xml:space="preserve">1. Zgłoszenie incydentu medycznego, raport wytwórcy o incydencie medycznym, raport o FSCA, notatkę bezpieczeństwa, okresowy raport zbiorczy, raport o trendzie oraz raport o błędach użytkowych przesyła się Prezesowi Urzędu Rejestracji Produktów Leczniczych, Wyrobów Medycznych i Produktów Biobójczych, zwanemu dalej </w:t>
      </w:r>
      <w:r>
        <w:t>„</w:t>
      </w:r>
      <w:r w:rsidRPr="006B7484">
        <w:t>Prezesem Urzędu</w:t>
      </w:r>
      <w:r>
        <w:t>”</w:t>
      </w:r>
      <w:r w:rsidRPr="006B7484">
        <w:t>, pocztą elektroniczną, faksem, listem poleconym, przesyłką kurierską lub składa się w siedzibie Urzędu Rejestracji Produktów Leczniczych, Wyrobów Medycznych i Produktów Biobójczych.</w:t>
      </w:r>
    </w:p>
    <w:p w:rsidR="006B7484" w:rsidRPr="006B7484" w:rsidRDefault="006B7484" w:rsidP="006B7484">
      <w:pPr>
        <w:pStyle w:val="USTustnpkodeksu"/>
      </w:pPr>
      <w:r w:rsidRPr="006B7484">
        <w:t>2.</w:t>
      </w:r>
      <w:r>
        <w:t> </w:t>
      </w:r>
      <w:r w:rsidRPr="006B7484">
        <w:t>Prezes Urzędu przesyła formularz NCAR pocztą elektroniczną.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1</w:t>
      </w:r>
      <w:r w:rsidR="00EE48F7">
        <w:rPr>
          <w:rStyle w:val="Ppogrubienie"/>
        </w:rPr>
        <w:t>2</w:t>
      </w:r>
      <w:r w:rsidRPr="006B7484">
        <w:rPr>
          <w:rStyle w:val="Ppogrubienie"/>
        </w:rPr>
        <w:t>.</w:t>
      </w:r>
      <w:r>
        <w:t> </w:t>
      </w:r>
      <w:r w:rsidRPr="006B7484">
        <w:t>1. Jeżeli incydent medyczny jest związany z łącznym stosowaniem co najmniej dwóch różnych wyrobów wytworzonych przez różnych wytwórców, z których każdy mógł lub może być przyczyną incydentu medycznego lub przyczynić się do niego, to incydent medyczny zgłasza się każdemu z tych wytwórców i każdy z nich podejmuje w swoim zakresie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określone w rozdziale 9 ustawy z dnia 20 maja 2010 r. o wyrobach medycznych.</w:t>
      </w:r>
    </w:p>
    <w:p w:rsidR="006B7484" w:rsidRPr="006B7484" w:rsidRDefault="006B7484" w:rsidP="006B7484">
      <w:pPr>
        <w:pStyle w:val="USTustnpkodeksu"/>
      </w:pPr>
      <w:r w:rsidRPr="006B7484">
        <w:lastRenderedPageBreak/>
        <w:t>2.</w:t>
      </w:r>
      <w:r>
        <w:t> </w:t>
      </w:r>
      <w:r w:rsidRPr="006B7484">
        <w:t>W przypadku gdy w terminie, w którym wytwórca lub autoryzowany przedstawiciel jest obowiązany przesłać Raport Wstępny, znane są już wyniki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wyjaśniającego oraz decyzje wytwórcy o przewidywanych lub podjętych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ch albo o ich braku, Raport Końcowy może być przesłany łącznie z Raportem Wstępnym, na jednym formularzu raportu wytwórcy o incydencie medycznym, w którym </w:t>
      </w:r>
      <w:r w:rsidR="00F246B0">
        <w:t xml:space="preserve">w </w:t>
      </w:r>
      <w:r w:rsidR="00F246B0" w:rsidRPr="006B7484">
        <w:t xml:space="preserve">polu </w:t>
      </w:r>
      <w:r w:rsidR="00F246B0">
        <w:t>„</w:t>
      </w:r>
      <w:r w:rsidR="00F246B0" w:rsidRPr="006B7484">
        <w:t>Typ raportu</w:t>
      </w:r>
      <w:r w:rsidR="00F246B0">
        <w:t xml:space="preserve">” </w:t>
      </w:r>
      <w:r w:rsidRPr="006B7484">
        <w:t xml:space="preserve">zaznacza się </w:t>
      </w:r>
      <w:r>
        <w:t>„</w:t>
      </w:r>
      <w:r w:rsidRPr="006B7484">
        <w:t>Raport Wstępny łącznie z Raportem Końcowym</w:t>
      </w:r>
      <w:r>
        <w:t>”</w:t>
      </w:r>
      <w:r w:rsidRPr="006B7484">
        <w:t>.</w:t>
      </w:r>
    </w:p>
    <w:p w:rsidR="006B7484" w:rsidRPr="006B7484" w:rsidRDefault="006B7484" w:rsidP="006B7484">
      <w:pPr>
        <w:pStyle w:val="USTustnpkodeksu"/>
      </w:pPr>
      <w:r w:rsidRPr="006B7484">
        <w:t>3.</w:t>
      </w:r>
      <w:r>
        <w:t> </w:t>
      </w:r>
      <w:r w:rsidRPr="006B7484">
        <w:t>Jeżeli w przypadku błędów użytkowych, które nie doprowadziły do śmierci lub poważnego pogorszenia stanu zdrowia pacjenta lub użytkownika, wytwórca lub autoryzowany przedstawiciel:</w:t>
      </w:r>
    </w:p>
    <w:p w:rsidR="006B7484" w:rsidRPr="006B7484" w:rsidRDefault="006B7484" w:rsidP="006B7484">
      <w:pPr>
        <w:pStyle w:val="PKTpunkt"/>
      </w:pPr>
      <w:r>
        <w:t>1)</w:t>
      </w:r>
      <w:r>
        <w:tab/>
      </w:r>
      <w:r w:rsidRPr="006B7484">
        <w:t>stwierdził znaczący wzrost liczby lub częstości występow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tych błędów lub stwierdził, że mogą one doprowadzić do śmierci lub poważnego pogorszenia stanu zdrowia, lub</w:t>
      </w:r>
    </w:p>
    <w:p w:rsidR="006B7484" w:rsidRPr="006B7484" w:rsidRDefault="006B7484" w:rsidP="006B7484">
      <w:pPr>
        <w:pStyle w:val="PKTpunkt"/>
      </w:pPr>
      <w:r>
        <w:t>2)</w:t>
      </w:r>
      <w:r>
        <w:tab/>
      </w:r>
      <w:r w:rsidRPr="006B7484">
        <w:t>podjął dział</w:t>
      </w:r>
      <w:smartTag w:uri="urn:schemas-microsoft-com:office:smarttags" w:element="PersonName">
        <w:r w:rsidRPr="006B7484">
          <w:t>ania</w:t>
        </w:r>
      </w:smartTag>
      <w:r w:rsidRPr="006B7484">
        <w:t xml:space="preserve"> korygujące, aby zapobiec spowodowaniu przez błędy użytkowe śmierci lub poważnego pogorszenia stanu zdrowia pacjenta lub użytkownika</w:t>
      </w:r>
    </w:p>
    <w:p w:rsidR="006B7484" w:rsidRPr="006B7484" w:rsidRDefault="006B7484" w:rsidP="006B7484">
      <w:pPr>
        <w:pStyle w:val="PKTpunkt"/>
      </w:pPr>
      <w:r w:rsidRPr="006B7484">
        <w:t>–</w:t>
      </w:r>
      <w:r w:rsidR="000347FD">
        <w:t xml:space="preserve"> </w:t>
      </w:r>
      <w:r w:rsidRPr="006B7484">
        <w:t>sytuację kwalifikuje jako incydent medyczny i przesyła Prezesowi Urzędu raport na ten temat.</w:t>
      </w:r>
    </w:p>
    <w:p w:rsidR="006B7484" w:rsidRPr="006B7484" w:rsidRDefault="006B7484" w:rsidP="006B7484">
      <w:pPr>
        <w:pStyle w:val="ARTartustawynprozporzdzenia"/>
      </w:pPr>
      <w:r w:rsidRPr="006B7484">
        <w:rPr>
          <w:rStyle w:val="Ppogrubienie"/>
        </w:rPr>
        <w:t>§ 1</w:t>
      </w:r>
      <w:r w:rsidR="00EE48F7">
        <w:rPr>
          <w:rStyle w:val="Ppogrubienie"/>
        </w:rPr>
        <w:t>3</w:t>
      </w:r>
      <w:r w:rsidRPr="006B7484">
        <w:rPr>
          <w:rStyle w:val="Ppogrubienie"/>
        </w:rPr>
        <w:t>.</w:t>
      </w:r>
      <w:r>
        <w:t> </w:t>
      </w:r>
      <w:r w:rsidRPr="006B7484">
        <w:t>Jeżeli wytwórca zaprzestał prowadzenia działalności związanej z wyrobem, w tym z powodu postawienia w stan likwidacji albo ogłoszenia upadłości, lub gdy wytwórca lub autoryzowany przedstawiciel nie podjęli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wyjaśniającego dotyczącego incydentu medycznego, postępowanie takie prowadzi Prezes Urzędu.</w:t>
      </w:r>
    </w:p>
    <w:p w:rsidR="006B7484" w:rsidRDefault="006B7484" w:rsidP="000347FD">
      <w:pPr>
        <w:pStyle w:val="ARTartustawynprozporzdzenia"/>
      </w:pPr>
      <w:r w:rsidRPr="006B7484">
        <w:rPr>
          <w:rStyle w:val="Ppogrubienie"/>
        </w:rPr>
        <w:t>§ 1</w:t>
      </w:r>
      <w:r w:rsidR="00EE48F7">
        <w:rPr>
          <w:rStyle w:val="Ppogrubienie"/>
        </w:rPr>
        <w:t>4</w:t>
      </w:r>
      <w:r w:rsidRPr="006B7484">
        <w:rPr>
          <w:rStyle w:val="Ppogrubienie"/>
        </w:rPr>
        <w:t>.</w:t>
      </w:r>
      <w:r>
        <w:t> </w:t>
      </w:r>
      <w:r w:rsidR="00007078" w:rsidRPr="00B20CC1">
        <w:t>Rozporządzenie wchodzi w życie</w:t>
      </w:r>
      <w:r w:rsidR="00007078">
        <w:t xml:space="preserve"> </w:t>
      </w:r>
      <w:r w:rsidR="000261AE">
        <w:t>z dniem</w:t>
      </w:r>
      <w:r w:rsidR="009F3506">
        <w:t xml:space="preserve"> </w:t>
      </w:r>
      <w:r w:rsidR="00102C8F">
        <w:t>21</w:t>
      </w:r>
      <w:r w:rsidR="009F3506">
        <w:t xml:space="preserve"> </w:t>
      </w:r>
      <w:r w:rsidR="00102C8F">
        <w:t>lutego 2016 r</w:t>
      </w:r>
      <w:r w:rsidR="002E048B">
        <w:t>.</w:t>
      </w:r>
      <w:r w:rsidRPr="006B7484">
        <w:rPr>
          <w:rStyle w:val="Odwoanieprzypisudolnego"/>
        </w:rPr>
        <w:footnoteReference w:id="2"/>
      </w:r>
      <w:r w:rsidRPr="000347FD">
        <w:rPr>
          <w:rStyle w:val="IGindeksgrny"/>
        </w:rPr>
        <w:t>)</w:t>
      </w:r>
    </w:p>
    <w:p w:rsidR="000347FD" w:rsidRDefault="000347FD" w:rsidP="000347FD">
      <w:pPr>
        <w:pStyle w:val="ARTartustawynprozporzdzenia"/>
      </w:pPr>
    </w:p>
    <w:p w:rsidR="006B7484" w:rsidRPr="000347FD" w:rsidRDefault="000347FD" w:rsidP="006B7484">
      <w:pPr>
        <w:pStyle w:val="Tekstpodstawowywcity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</w:t>
      </w:r>
      <w:r w:rsidR="00EA022F">
        <w:rPr>
          <w:rStyle w:val="Ppogrubienie"/>
        </w:rPr>
        <w:t xml:space="preserve">  </w:t>
      </w:r>
      <w:r>
        <w:rPr>
          <w:rStyle w:val="Ppogrubienie"/>
        </w:rPr>
        <w:t xml:space="preserve">                               </w:t>
      </w:r>
      <w:r w:rsidR="00EA022F" w:rsidRPr="000347FD">
        <w:rPr>
          <w:rStyle w:val="Ppogrubienie"/>
        </w:rPr>
        <w:t>MINISTER ZDROWIA</w:t>
      </w:r>
    </w:p>
    <w:p w:rsidR="006B7484" w:rsidRDefault="006B7484" w:rsidP="006B7484"/>
    <w:p w:rsidR="006B7484" w:rsidRPr="006B7484" w:rsidRDefault="006B7484" w:rsidP="006B7484">
      <w:pPr>
        <w:sectPr w:rsidR="006B7484" w:rsidRPr="006B7484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</w:sectPr>
      </w:pPr>
    </w:p>
    <w:p w:rsidR="006B7484" w:rsidRPr="000347FD" w:rsidRDefault="000347FD" w:rsidP="006B7484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lastRenderedPageBreak/>
        <w:t xml:space="preserve">                                                       </w:t>
      </w:r>
      <w:r w:rsidR="006B7484" w:rsidRPr="000347FD">
        <w:rPr>
          <w:rStyle w:val="Ppogrubienie"/>
        </w:rPr>
        <w:t>UZASADNIENIE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Projekt rozporządzenia jest wykonaniem upoważnienia ustawowego zawartego w art. 85 ustawy z dnia 20 maja 2010 r. o wyrobach medycznych (Dz. U.</w:t>
      </w:r>
      <w:r w:rsidR="00991806">
        <w:t xml:space="preserve"> z 2015 r. poz. 876</w:t>
      </w:r>
      <w:r w:rsidR="000261AE">
        <w:t xml:space="preserve"> i </w:t>
      </w:r>
      <w:r w:rsidR="00102C8F">
        <w:t>1918</w:t>
      </w:r>
      <w:r w:rsidR="000261AE">
        <w:t xml:space="preserve">), </w:t>
      </w:r>
      <w:r w:rsidRPr="006B7484">
        <w:t xml:space="preserve">zwanej dalej </w:t>
      </w:r>
      <w:r>
        <w:t>„</w:t>
      </w:r>
      <w:r w:rsidRPr="006B7484">
        <w:t>ustawą</w:t>
      </w:r>
      <w:r>
        <w:t>”</w:t>
      </w:r>
      <w:r w:rsidRPr="006B7484">
        <w:t xml:space="preserve">. Projekt dotyczy wszystkich rodzajów wyrobów medycznych, ich wyposażenia, systemów i zestawów zabiegowych złożonych z wyrobów medycznych, zwanych dalej </w:t>
      </w:r>
      <w:r>
        <w:t>„</w:t>
      </w:r>
      <w:r w:rsidRPr="006B7484">
        <w:t>wyrobami</w:t>
      </w:r>
      <w:r>
        <w:t>”</w:t>
      </w:r>
      <w:r w:rsidRPr="006B7484">
        <w:t>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Projektowane rozporządzenie określa lub zawiera w postaci załączników:</w:t>
      </w:r>
    </w:p>
    <w:p w:rsidR="006B7484" w:rsidRPr="006B7484" w:rsidRDefault="006B7484" w:rsidP="006B7484">
      <w:pPr>
        <w:pStyle w:val="PKTpunkt"/>
      </w:pPr>
      <w:r w:rsidRPr="006B7484">
        <w:t>1)</w:t>
      </w:r>
      <w:r w:rsidRPr="006B7484">
        <w:tab/>
        <w:t>kryteria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zdarzeń z wyrobami i incydentów medycznych;</w:t>
      </w:r>
    </w:p>
    <w:p w:rsidR="006B7484" w:rsidRPr="006B7484" w:rsidRDefault="006B7484" w:rsidP="006B7484">
      <w:pPr>
        <w:pStyle w:val="PKTpunkt"/>
      </w:pPr>
      <w:r w:rsidRPr="006B7484">
        <w:t>2)</w:t>
      </w:r>
      <w:r w:rsidRPr="006B7484">
        <w:tab/>
        <w:t>wzór formularza zgłoszenia incydentu medycznego – załącznik nr 1;</w:t>
      </w:r>
    </w:p>
    <w:p w:rsidR="006B7484" w:rsidRPr="006B7484" w:rsidRDefault="006B7484" w:rsidP="006B7484">
      <w:pPr>
        <w:pStyle w:val="PKTpunkt"/>
      </w:pPr>
      <w:r w:rsidRPr="006B7484">
        <w:t>3)</w:t>
      </w:r>
      <w:r w:rsidRPr="006B7484">
        <w:tab/>
        <w:t>wzór formularza raportu wytwórcy o incydencie medycznym – załącznik nr 2;</w:t>
      </w:r>
    </w:p>
    <w:p w:rsidR="006B7484" w:rsidRPr="006B7484" w:rsidRDefault="006B7484" w:rsidP="006B7484">
      <w:pPr>
        <w:pStyle w:val="PKTpunkt"/>
      </w:pPr>
      <w:r w:rsidRPr="006B7484">
        <w:t>4)</w:t>
      </w:r>
      <w:r w:rsidRPr="006B7484">
        <w:tab/>
        <w:t>wzór raportu o zewnętrznych dział</w:t>
      </w:r>
      <w:smartTag w:uri="urn:schemas-microsoft-com:office:smarttags" w:element="PersonName">
        <w:r w:rsidRPr="006B7484">
          <w:t>ania</w:t>
        </w:r>
      </w:smartTag>
      <w:r w:rsidRPr="006B7484">
        <w:t>ch korygujących dotyczących bezpieczeństwa, zwanego w skrócie FSCA – załącznik nr 3;</w:t>
      </w:r>
    </w:p>
    <w:p w:rsidR="006B7484" w:rsidRPr="006B7484" w:rsidRDefault="006B7484" w:rsidP="006B7484">
      <w:pPr>
        <w:pStyle w:val="PKTpunkt"/>
      </w:pPr>
      <w:r w:rsidRPr="006B7484">
        <w:t>5)</w:t>
      </w:r>
      <w:r w:rsidRPr="006B7484">
        <w:tab/>
        <w:t>wzór notatki bezpieczeństwa – załącznik nr 4;</w:t>
      </w:r>
    </w:p>
    <w:p w:rsidR="006B7484" w:rsidRPr="006B7484" w:rsidRDefault="006B7484" w:rsidP="006B7484">
      <w:pPr>
        <w:pStyle w:val="PKTpunkt"/>
      </w:pPr>
      <w:r w:rsidRPr="006B7484">
        <w:t>6)</w:t>
      </w:r>
      <w:r w:rsidRPr="006B7484">
        <w:tab/>
        <w:t>wzór okresowego raportu zbiorczego wytwórcy – załącznik nr 5;</w:t>
      </w:r>
    </w:p>
    <w:p w:rsidR="006B7484" w:rsidRPr="006B7484" w:rsidRDefault="006B7484" w:rsidP="006B7484">
      <w:pPr>
        <w:pStyle w:val="PKTpunkt"/>
      </w:pPr>
      <w:r w:rsidRPr="006B7484">
        <w:t>7)</w:t>
      </w:r>
      <w:r w:rsidRPr="006B7484">
        <w:tab/>
        <w:t>wzór raportu wytwórcy o trendzie – załącznik nr 6;</w:t>
      </w:r>
    </w:p>
    <w:p w:rsidR="006B7484" w:rsidRPr="006B7484" w:rsidRDefault="006B7484" w:rsidP="006B7484">
      <w:pPr>
        <w:pStyle w:val="PKTpunkt"/>
      </w:pPr>
      <w:r w:rsidRPr="006B7484">
        <w:t>8)</w:t>
      </w:r>
      <w:r w:rsidRPr="006B7484">
        <w:tab/>
        <w:t>sposób sporządz</w:t>
      </w:r>
      <w:smartTag w:uri="urn:schemas-microsoft-com:office:smarttags" w:element="PersonName">
        <w:r w:rsidRPr="006B7484">
          <w:t>ania</w:t>
        </w:r>
      </w:smartTag>
      <w:r w:rsidRPr="006B7484">
        <w:t xml:space="preserve"> raportu o błędach użytkowych;</w:t>
      </w:r>
    </w:p>
    <w:p w:rsidR="006B7484" w:rsidRPr="006B7484" w:rsidRDefault="006B7484" w:rsidP="006B7484">
      <w:pPr>
        <w:pStyle w:val="PKTpunkt"/>
      </w:pPr>
      <w:r w:rsidRPr="006B7484">
        <w:t>9)</w:t>
      </w:r>
      <w:r w:rsidRPr="006B7484">
        <w:tab/>
        <w:t>wzór raportu krajowego organu właściwego w zakresie incydentów medycznych, zwanego w skrócie NCAR, w języku angielskim – załącznik nr 7;</w:t>
      </w:r>
    </w:p>
    <w:p w:rsidR="006B7484" w:rsidRPr="006B7484" w:rsidRDefault="006B7484" w:rsidP="006B7484">
      <w:pPr>
        <w:pStyle w:val="PKTpunkt"/>
      </w:pPr>
      <w:r w:rsidRPr="006B7484">
        <w:t>10)</w:t>
      </w:r>
      <w:r w:rsidRPr="006B7484">
        <w:tab/>
        <w:t>sposób przesył</w:t>
      </w:r>
      <w:smartTag w:uri="urn:schemas-microsoft-com:office:smarttags" w:element="PersonName">
        <w:r w:rsidRPr="006B7484">
          <w:t>ania</w:t>
        </w:r>
      </w:smartTag>
      <w:r w:rsidRPr="006B7484">
        <w:t xml:space="preserve"> zgłoszeń, raportów i notatek, o których mowa w pkt 2–9;</w:t>
      </w:r>
    </w:p>
    <w:p w:rsidR="006B7484" w:rsidRPr="006B7484" w:rsidRDefault="006B7484" w:rsidP="006B7484">
      <w:pPr>
        <w:pStyle w:val="PKTpunkt"/>
      </w:pPr>
      <w:r w:rsidRPr="006B7484">
        <w:t>11)</w:t>
      </w:r>
      <w:r w:rsidRPr="006B7484">
        <w:tab/>
        <w:t>szczegółowy tryb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podmiotów biorących udział w dział</w:t>
      </w:r>
      <w:smartTag w:uri="urn:schemas-microsoft-com:office:smarttags" w:element="PersonName">
        <w:r w:rsidRPr="006B7484">
          <w:t>ania</w:t>
        </w:r>
      </w:smartTag>
      <w:r w:rsidRPr="006B7484">
        <w:t>ch dotyczących incydentu medycznego, FSCA i innych dział</w:t>
      </w:r>
      <w:smartTag w:uri="urn:schemas-microsoft-com:office:smarttags" w:element="PersonName">
        <w:r w:rsidRPr="006B7484">
          <w:t>ania</w:t>
        </w:r>
      </w:smartTag>
      <w:r w:rsidRPr="006B7484">
        <w:t>ch dotyczących bezpieczeństwa wyrobów.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Wzory formularzy, określone w załącznikach nr 1–7, zawierają szczegółowe informacje dotyczące przedmiotu rozporządzenia – zgłasz</w:t>
      </w:r>
      <w:smartTag w:uri="urn:schemas-microsoft-com:office:smarttags" w:element="PersonName">
        <w:r w:rsidRPr="006B7484">
          <w:t>ania</w:t>
        </w:r>
      </w:smartTag>
      <w:r w:rsidRPr="006B7484">
        <w:t>, oceny, działań korygujących i naprawczych z zakresu incydentów medycznych i bezpieczeństwa wyrobów.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Ustawowy obowiązek zgłasz</w:t>
      </w:r>
      <w:smartTag w:uri="urn:schemas-microsoft-com:office:smarttags" w:element="PersonName">
        <w:r w:rsidRPr="006B7484">
          <w:t>ania</w:t>
        </w:r>
      </w:smartTag>
      <w:r w:rsidRPr="006B7484">
        <w:t xml:space="preserve"> incydentów medycznych, powiadami</w:t>
      </w:r>
      <w:smartTag w:uri="urn:schemas-microsoft-com:office:smarttags" w:element="PersonName">
        <w:r w:rsidRPr="006B7484">
          <w:t>ania</w:t>
        </w:r>
      </w:smartTag>
      <w:r w:rsidRPr="006B7484">
        <w:t xml:space="preserve"> o nich wytwórcy lub autoryzowanego przedstawiciela oraz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incydentów medycznych przez wytwórcę lub jego autoryzowanego przedstawiciela wynika z regulacji zawartych w art. 74 i 76 ustawy. Zgodnie z art. 74 ust. 7 ustawy – Prezes Urzędu Rejestracji Produktów Leczniczych, Wyrobów Medycznych i Produktów Biobójczych, zwany dalej </w:t>
      </w:r>
      <w:r>
        <w:t>„</w:t>
      </w:r>
      <w:r w:rsidRPr="006B7484">
        <w:t>Prezesem Urzędu</w:t>
      </w:r>
      <w:r>
        <w:t>”</w:t>
      </w:r>
      <w:r w:rsidRPr="006B7484">
        <w:t xml:space="preserve">, powiadamia wytwórcę lub autoryzowanego przedstawiciela o zgłoszeniu przez podmioty wymienione w art. 74 ust. 1 i 3 ustawy incydentu medycznego tylko wówczas, gdy </w:t>
      </w:r>
      <w:r w:rsidRPr="006B7484">
        <w:lastRenderedPageBreak/>
        <w:t>incydent ten spełnia kryteria raportow</w:t>
      </w:r>
      <w:smartTag w:uri="urn:schemas-microsoft-com:office:smarttags" w:element="PersonName">
        <w:r w:rsidRPr="006B7484">
          <w:t>ania</w:t>
        </w:r>
      </w:smartTag>
      <w:r w:rsidRPr="006B7484">
        <w:t>. Wytwórca, zgodnie z art. 76 ustawy, w postępowaniu wyjaśniającym dotyczącym incydentu medycznego ocenia, czy zgłoszony mu incydent medyczny, który wystąpił na terytorium Rzeczypospolitej Polskiej, jest zdarzeniem spełniającym kryteria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go Prezesowi Urzędu. Kryteria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zdarzeń z wyrobami i incydentów medycznych określono w § 2 projektu rozporządzenia na podstawie wytycznych Komisji Europejskiej MEDDEV 2.12-1 rev. 8, January 2013, Guidelines on a Medical Devices Vigilance System, zwanych dalej </w:t>
      </w:r>
      <w:r>
        <w:t>„</w:t>
      </w:r>
      <w:r w:rsidRPr="006B7484">
        <w:t>wytycznymi MEDDEV 2.12-1</w:t>
      </w:r>
      <w:r>
        <w:t>”</w:t>
      </w:r>
      <w:r w:rsidRPr="006B7484">
        <w:t>, dotyczących systemu nadzoru nad incydentami medycznymi w związku ze stosowaniem postanowień dyrektywy Rady 90/385/EWG z dnia 20 czerwca 1990 r. w sprawie zbliżenia ustawodawstw Państw Członkowskich odnoszących się do wyrobów medycznych aktywnego osadzania</w:t>
      </w:r>
      <w:r w:rsidR="00963864">
        <w:t xml:space="preserve"> </w:t>
      </w:r>
      <w:r w:rsidR="00963864" w:rsidRPr="00827D34">
        <w:t>(Dz. Urz. WE L 189 z 20.07.1990, str. 17; Dz. Urz. UE Polskie wydanie specjalne, rozdz. 13, t. 10, str. 154)</w:t>
      </w:r>
      <w:r w:rsidRPr="006B7484">
        <w:t xml:space="preserve">, dyrektywy Rady 93/42/EWG z dnia 14 czerwca 1993 r. dotyczącej wyrobów medycznych </w:t>
      </w:r>
      <w:r w:rsidR="00963864" w:rsidRPr="00827D34">
        <w:t>(Dz. Urz. WE L 169 z 12.07.1993, str. 1; Dz. Urz. UE Polskie wydanie specjalne, rozdz. 13, t. 12, str. 82)</w:t>
      </w:r>
      <w:r w:rsidR="00963864">
        <w:t xml:space="preserve"> </w:t>
      </w:r>
      <w:r w:rsidRPr="006B7484">
        <w:t>i dyrektywy 98/79/WE Parlamentu Europejskiego i Rady z dnia 27 października 1998 r. w sprawie wyrobów medycznych używanych do diagnozy in vitro</w:t>
      </w:r>
      <w:r w:rsidR="00963864">
        <w:t xml:space="preserve"> </w:t>
      </w:r>
      <w:r w:rsidR="00963864" w:rsidRPr="00827D34">
        <w:t>(Dz. Urz. WE L 331 z 07.12.1998, str. 1; Dz. Urz. UE Polskie wydanie specjalne, rozdz. 13, t. 21, str. 319)</w:t>
      </w:r>
      <w:r w:rsidRPr="006B7484">
        <w:t>. Postanowienia tych dyrektyw wdraża ustawa o wyrobach medycznych.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Zgodnie z art. 74 ust. 6 ustawy, zgłoszenia incydentu medycznego dokonuje się na formularzu zgłoszenia incydentu medycznego. W formularzu tym (wzór w załączniku nr 1) uwzględniono wszystkie dane niezbędne wytwórcy do prowadzenia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wyjaśniającego dotyczącego incydentu medycznego oraz przeznaczone dla Prezesa Urzędu do nadzorow</w:t>
      </w:r>
      <w:smartTag w:uri="urn:schemas-microsoft-com:office:smarttags" w:element="PersonName">
        <w:r w:rsidRPr="006B7484">
          <w:t>ania</w:t>
        </w:r>
      </w:smartTag>
      <w:r w:rsidRPr="006B7484">
        <w:t xml:space="preserve"> tego postępowania – dane o zgłaszającym incydent, wytwórcy wyrobu, autoryzowanym przedstawicielu, dostawcy wyrobu, wyrobie i o incydencie. Formularz jest sporządzany w języku polskim i języku angielskim, aby mogli z niego korzystać zagraniczni wytwórcy i autoryzowani przedstawiciele.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 xml:space="preserve">Zgodnie z art. 76 ust. 3 oraz art. 78 ust. 6 i 7 ustawy, Raport Wstępny, Raport Końcowy i Raport Kolejny sporządza się na formularzu raportu wytwórcy o incydencie medycznym, którego wzór został określony w załączniku nr 2 do projektowanego rozporządzenia. Wzór formularza opracowano na podstawie wytycznych MEDDEV 2.12-1. W formularzu uwzględniono dane o składającym raport, wytwórcy wyrobu, autoryzowanym przedstawicielu, wyrobie, incydencie, pacjencie, którego dotyczył incydent, </w:t>
      </w:r>
      <w:r w:rsidRPr="006B7484">
        <w:lastRenderedPageBreak/>
        <w:t>świadczeniodawcy, u którego wystąpił incydent, oraz informacje dotyczące wstępnego komentarza wytwórcy i wyników końcowych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wyjaśniającego. Formularz jest sporządzony w języku polskim i języku angielskim, aby mogli go wypełnić zagraniczni wytwórcy i autoryzowani przedstawiciele.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Zgodnie z art. 79 ust. 2 ustawy, wytwórca lub autoryzowany przedstawiciel, który ma miejsce zamieszk</w:t>
      </w:r>
      <w:smartTag w:uri="urn:schemas-microsoft-com:office:smarttags" w:element="PersonName">
        <w:r w:rsidRPr="006B7484">
          <w:t>ania</w:t>
        </w:r>
      </w:smartTag>
      <w:r w:rsidRPr="006B7484">
        <w:t xml:space="preserve"> lub siedzibę lub podejmuje FSCA na terytorium Rzeczypospolitej Polskiej, sporządza Raport o FSCA na formularzu raportu o FSCA (wzór </w:t>
      </w:r>
      <w:r w:rsidR="00BF0872">
        <w:t>w</w:t>
      </w:r>
      <w:r w:rsidRPr="006B7484">
        <w:t xml:space="preserve"> załącznik</w:t>
      </w:r>
      <w:r w:rsidR="00BF0872">
        <w:t>u</w:t>
      </w:r>
      <w:r w:rsidRPr="006B7484">
        <w:t xml:space="preserve"> nr 3) oraz sporządza notatkę bezpieczeństwa informującą odbiorców lub użytkowników o </w:t>
      </w:r>
      <w:r w:rsidR="00280C9E">
        <w:t>podjęciu</w:t>
      </w:r>
      <w:r w:rsidR="00280C9E" w:rsidRPr="00280C9E">
        <w:t xml:space="preserve"> </w:t>
      </w:r>
      <w:r w:rsidRPr="006B7484">
        <w:t xml:space="preserve">FSCA. W § </w:t>
      </w:r>
      <w:r w:rsidR="00EE48F7">
        <w:t>5</w:t>
      </w:r>
      <w:r w:rsidRPr="006B7484">
        <w:t xml:space="preserve"> projektowanego rozporządzenia określono zawartość raportu o FSCA, w szczególności informacje podstawowe, przyczyny podjęcia FSCA oraz dział</w:t>
      </w:r>
      <w:smartTag w:uri="urn:schemas-microsoft-com:office:smarttags" w:element="PersonName">
        <w:r w:rsidRPr="006B7484">
          <w:t>ania</w:t>
        </w:r>
      </w:smartTag>
      <w:r w:rsidRPr="006B7484">
        <w:t>, które powinni podjąć dystrybutor i użytkownik. W załączniku nr 4 do rozporządzenia określono wzór notatki bezpieczeństwa.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Na warunkach określonych w art. 7</w:t>
      </w:r>
      <w:r w:rsidR="00963864">
        <w:t>9</w:t>
      </w:r>
      <w:r w:rsidRPr="006B7484">
        <w:t>a ustawy, powtarzające się incydenty medyczne mogą być przesyłane okresowo na formularzu okresowego raportu zbiorczego wytwórcy, którego wzór określono w załączniku nr 5. Taki sposób raportow</w:t>
      </w:r>
      <w:smartTag w:uri="urn:schemas-microsoft-com:office:smarttags" w:element="PersonName">
        <w:r w:rsidRPr="006B7484">
          <w:t>ania</w:t>
        </w:r>
      </w:smartTag>
      <w:r w:rsidRPr="006B7484">
        <w:t xml:space="preserve"> wymaga uzgodnienia z Prezesem Urzędu możliwości i częstości przesył</w:t>
      </w:r>
      <w:smartTag w:uri="urn:schemas-microsoft-com:office:smarttags" w:element="PersonName">
        <w:r w:rsidRPr="006B7484">
          <w:t>ania</w:t>
        </w:r>
      </w:smartTag>
      <w:r w:rsidRPr="006B7484">
        <w:t xml:space="preserve"> raportów. Jeżeli wytwórca, na podstawie doświadczeń dotyczących wyrobów w fazie poprodukcyjnej, zgłoszonych zdarzeń, nieprawidłowego użycia, błędów użytkowych lub incydentów medycznych, które nie spełniają kryteriów raportow</w:t>
      </w:r>
      <w:smartTag w:uri="urn:schemas-microsoft-com:office:smarttags" w:element="PersonName">
        <w:r w:rsidRPr="006B7484">
          <w:t>ania</w:t>
        </w:r>
      </w:smartTag>
      <w:r w:rsidRPr="006B7484">
        <w:t>, stwierdzi istotny wzrost liczby lub częstości reklamacji, zdarzeń lub incydentów medycznych, przesyła Prezesowi Urzędu, niezależnie od okresowego raportu zbiorczego, raport o trendzie, dla którego wzór formularza określono w załączniku nr 6.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Zawartość informacyjną wzorów formularzy: zgłoszenia incydentu medycznego, raportu wytwórcy o incydencie medycznym, raportu o FSCA, notatki bezpieczeństwa, okresowego raportu zbiorczego wytwórcy oraz raportu wytwórcy o trendzie określono na podstawie wytycznych MEDDEV 2.12-1 z uwzględnieniem członkostwa Chorwacji w UE. Formularze oraz wzór notatki bezpieczeństwa sporządzono w języku polskim i języku angielskim, aby mogły być stosowane przez zagranicznych wytwórców i autoryzowanych przedstawicieli.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 xml:space="preserve">Zgodnie z art. 83 ustawy, w przypadku gdy informacje o incydencie medycznym, o podjęciu FSCA </w:t>
      </w:r>
      <w:r w:rsidR="00280C9E">
        <w:t xml:space="preserve">albo </w:t>
      </w:r>
      <w:r w:rsidRPr="006B7484">
        <w:t xml:space="preserve">o niepodjęciu FSCA, które powinny być podjęte, są istotne dla bezpieczeństwa, ochrony zdrowia lub życia pacjentów, użytkowników wyrobów lub innych osób w pozostałych państwach członkowskich, Prezes Urzędu sporządza i przesyła do Komisji </w:t>
      </w:r>
      <w:r w:rsidRPr="006B7484">
        <w:lastRenderedPageBreak/>
        <w:t>Europejskiej i właściwych organów państw członkowskich raport dotyczący bezpieczeństwa wyrobu, zwany NCAR. Wzór formularza NCAR określono w załączniku nr 7 do projektowanego rozporządzenia na podstawie wytycznych MEDDEV 2.12-1.</w:t>
      </w:r>
    </w:p>
    <w:p w:rsidR="006B7484" w:rsidRPr="006B7484" w:rsidRDefault="006B7484" w:rsidP="000347FD">
      <w:pPr>
        <w:pStyle w:val="NIEARTTEKSTtekstnieartykuowanynppodstprawnarozplubpreambua"/>
        <w:ind w:firstLine="0"/>
      </w:pPr>
      <w:r w:rsidRPr="006B7484">
        <w:t>Sposób przesył</w:t>
      </w:r>
      <w:smartTag w:uri="urn:schemas-microsoft-com:office:smarttags" w:element="PersonName">
        <w:r w:rsidRPr="006B7484">
          <w:t>ania</w:t>
        </w:r>
      </w:smartTag>
      <w:r w:rsidRPr="006B7484">
        <w:t xml:space="preserve"> zgłoszeń, raportów i notatek określono w § 1</w:t>
      </w:r>
      <w:r w:rsidR="00DF3681">
        <w:t>1</w:t>
      </w:r>
      <w:r w:rsidRPr="006B7484">
        <w:t xml:space="preserve"> projektu rozporządzenia, uwzględniając możliwość – ze względu na szybkość i niski koszt – przesył</w:t>
      </w:r>
      <w:smartTag w:uri="urn:schemas-microsoft-com:office:smarttags" w:element="PersonName">
        <w:r w:rsidRPr="006B7484">
          <w:t>ania</w:t>
        </w:r>
      </w:smartTag>
      <w:r w:rsidRPr="006B7484">
        <w:t xml:space="preserve"> ich pocztą elektroniczną </w:t>
      </w:r>
      <w:r w:rsidR="009F3506">
        <w:t>i</w:t>
      </w:r>
      <w:r w:rsidRPr="006B7484">
        <w:t xml:space="preserve"> w języku angielskim, co jest zgodne z art. 84 ustawy. W § 1</w:t>
      </w:r>
      <w:r w:rsidR="00DF3681">
        <w:t>2</w:t>
      </w:r>
      <w:r w:rsidRPr="006B7484">
        <w:t xml:space="preserve"> projektowanego rozporządzenia określono szczegółowy tryb postępow</w:t>
      </w:r>
      <w:smartTag w:uri="urn:schemas-microsoft-com:office:smarttags" w:element="PersonName">
        <w:r w:rsidRPr="006B7484">
          <w:t>ania</w:t>
        </w:r>
      </w:smartTag>
      <w:r w:rsidRPr="006B7484">
        <w:t xml:space="preserve"> podmiotów biorących udział w dział</w:t>
      </w:r>
      <w:smartTag w:uri="urn:schemas-microsoft-com:office:smarttags" w:element="PersonName">
        <w:r w:rsidRPr="006B7484">
          <w:t>ania</w:t>
        </w:r>
      </w:smartTag>
      <w:r w:rsidRPr="006B7484">
        <w:t>ch dotyczących incydentu medycznego, FSCA i innych dział</w:t>
      </w:r>
      <w:smartTag w:uri="urn:schemas-microsoft-com:office:smarttags" w:element="PersonName">
        <w:r w:rsidRPr="006B7484">
          <w:t>ania</w:t>
        </w:r>
      </w:smartTag>
      <w:r w:rsidRPr="006B7484">
        <w:t>ch dotyczących bezpieczeństwa wyrobów na podstawie wytycznych MEDDEV 2.12-1.</w:t>
      </w:r>
    </w:p>
    <w:p w:rsidR="00437888" w:rsidRPr="00437888" w:rsidRDefault="00437888" w:rsidP="00437888">
      <w:pPr>
        <w:pStyle w:val="ARTartustawynprozporzdzenia"/>
        <w:ind w:firstLine="0"/>
      </w:pPr>
      <w:r w:rsidRPr="00437888">
        <w:t xml:space="preserve">W dniu </w:t>
      </w:r>
      <w:r w:rsidR="00963124">
        <w:t>11 września</w:t>
      </w:r>
      <w:r w:rsidRPr="00437888">
        <w:t xml:space="preserve"> 2015 r. </w:t>
      </w:r>
      <w:r w:rsidR="00EA45E2">
        <w:t xml:space="preserve">została uchwalona </w:t>
      </w:r>
      <w:r w:rsidRPr="00437888">
        <w:t xml:space="preserve">ustawa o zmianie ustawy o wyrobach medycznych oraz niektórych innych ustaw (Dz. U. poz. </w:t>
      </w:r>
      <w:r w:rsidR="00102C8F">
        <w:t>1918</w:t>
      </w:r>
      <w:r w:rsidRPr="00437888">
        <w:t>), która nie zachowa</w:t>
      </w:r>
      <w:r w:rsidR="00630781">
        <w:t>ł</w:t>
      </w:r>
      <w:r w:rsidRPr="00437888">
        <w:t>a w mocy dotychczas obowiązującego rozporządzenia Ministra Zdrowia z dnia 2 lutego 2011 r. w sprawie kryteriów raportow</w:t>
      </w:r>
      <w:smartTag w:uri="urn:schemas-microsoft-com:office:smarttags" w:element="PersonName">
        <w:r w:rsidRPr="00437888">
          <w:t>ania</w:t>
        </w:r>
      </w:smartTag>
      <w:r w:rsidRPr="00437888">
        <w:t xml:space="preserve"> zdarzeń z wyrobami, sposobu zgłasz</w:t>
      </w:r>
      <w:smartTag w:uri="urn:schemas-microsoft-com:office:smarttags" w:element="PersonName">
        <w:r w:rsidRPr="00437888">
          <w:t>ania</w:t>
        </w:r>
      </w:smartTag>
      <w:r w:rsidRPr="00437888">
        <w:t xml:space="preserve"> incydentów medycznych i działań z zakresu bezpieczeństwa wyrobów (Dz. U. Nr 33, poz. 167). Biorąc pod uwagę materię, jaką reguluje przedmiotowy akt wykonawczy, rozporządzenie powinno wejść w życie równocześnie z dniem wejścia w życie ustawy, tj.</w:t>
      </w:r>
      <w:r w:rsidR="00102C8F">
        <w:t xml:space="preserve"> z dniem </w:t>
      </w:r>
      <w:r w:rsidR="002E318F">
        <w:t>21</w:t>
      </w:r>
      <w:r w:rsidR="00102C8F">
        <w:t xml:space="preserve"> lutego 2016 r</w:t>
      </w:r>
      <w:r w:rsidRPr="00437888">
        <w:t>.</w:t>
      </w:r>
    </w:p>
    <w:p w:rsidR="006B7484" w:rsidRDefault="006B7484" w:rsidP="000347FD">
      <w:pPr>
        <w:pStyle w:val="NIEARTTEKSTtekstnieartykuowanynppodstprawnarozplubpreambua"/>
        <w:ind w:firstLine="0"/>
      </w:pPr>
      <w:r w:rsidRPr="006B7484">
        <w:t>Zgodnie z § 4 ust. 1 pkt 1 rozporządzenia Rady Ministrów z dnia 23 grudnia 2002 r. w sprawie sposobu funkcjonow</w:t>
      </w:r>
      <w:smartTag w:uri="urn:schemas-microsoft-com:office:smarttags" w:element="PersonName">
        <w:r w:rsidRPr="006B7484">
          <w:t>ania</w:t>
        </w:r>
      </w:smartTag>
      <w:r w:rsidRPr="006B7484">
        <w:t xml:space="preserve"> krajowego systemu notyfikacji norm aktów prawnych (Dz. U. Nr 239, poz. 2039 oraz z 2004 r. Nr 65, poz. 597) projekt jest zwolniony z procedury notyfikacji.</w:t>
      </w:r>
    </w:p>
    <w:p w:rsidR="00EA45E2" w:rsidRPr="00EA45E2" w:rsidRDefault="00EA45E2" w:rsidP="00EA45E2">
      <w:pPr>
        <w:pStyle w:val="ARTartustawynprozporzdzenia"/>
      </w:pPr>
      <w:r w:rsidRPr="008E0534">
        <w:t>Rozporządzenie jest zgodne z przepisami prawa Unii Europejskiej.</w:t>
      </w:r>
    </w:p>
    <w:sectPr w:rsidR="00EA45E2" w:rsidRPr="00EA45E2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CA" w:rsidRDefault="00FF13CA">
      <w:r>
        <w:separator/>
      </w:r>
    </w:p>
  </w:endnote>
  <w:endnote w:type="continuationSeparator" w:id="0">
    <w:p w:rsidR="00FF13CA" w:rsidRDefault="00F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84" w:rsidRDefault="006B748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CA" w:rsidRDefault="00FF13CA">
      <w:r>
        <w:separator/>
      </w:r>
    </w:p>
  </w:footnote>
  <w:footnote w:type="continuationSeparator" w:id="0">
    <w:p w:rsidR="00FF13CA" w:rsidRDefault="00FF13CA">
      <w:r>
        <w:continuationSeparator/>
      </w:r>
    </w:p>
  </w:footnote>
  <w:footnote w:id="1">
    <w:p w:rsidR="006B7484" w:rsidRPr="00D61DEE" w:rsidRDefault="006B7484" w:rsidP="006B7484">
      <w:pPr>
        <w:pStyle w:val="ODNONIKtreodnonika"/>
      </w:pPr>
      <w:r w:rsidRPr="00D61DEE">
        <w:rPr>
          <w:rStyle w:val="Odwoanieprzypisudolnego"/>
          <w:rFonts w:ascii="Arial" w:hAnsi="Arial"/>
        </w:rPr>
        <w:footnoteRef/>
      </w:r>
      <w:r>
        <w:rPr>
          <w:vertAlign w:val="superscript"/>
        </w:rPr>
        <w:t>)</w:t>
      </w:r>
      <w:r w:rsidRPr="00D61DEE">
        <w:t xml:space="preserve"> </w:t>
      </w:r>
      <w:r w:rsidRPr="006D2626">
        <w:t xml:space="preserve">Minister Zdrowia kieruje działem administracji rządowej </w:t>
      </w:r>
      <w:r>
        <w:t>–</w:t>
      </w:r>
      <w:r w:rsidRPr="006D2626">
        <w:t xml:space="preserve"> zdrowie, na podstawie § 1 ust. 2 rozporządzenia Prezesa Rady Ministrów z dnia </w:t>
      </w:r>
      <w:r w:rsidR="0021563D" w:rsidRPr="0021563D">
        <w:t>17 listopada 2015 r. w sprawie szczegółowego zakresu dział</w:t>
      </w:r>
      <w:smartTag w:uri="urn:schemas-microsoft-com:office:smarttags" w:element="PersonName">
        <w:r w:rsidR="0021563D" w:rsidRPr="0021563D">
          <w:t>ania</w:t>
        </w:r>
      </w:smartTag>
      <w:r w:rsidR="0021563D" w:rsidRPr="0021563D">
        <w:t xml:space="preserve"> Ministra Zdrowia (Dz. U. poz. 1908)</w:t>
      </w:r>
      <w:r w:rsidRPr="006D2626">
        <w:t>.</w:t>
      </w:r>
    </w:p>
  </w:footnote>
  <w:footnote w:id="2">
    <w:p w:rsidR="006B7484" w:rsidRPr="00DE62A1" w:rsidRDefault="006B7484" w:rsidP="006B7484">
      <w:pPr>
        <w:pStyle w:val="ODNONIKtreodnonika"/>
      </w:pPr>
      <w:r w:rsidRPr="00E42CCF">
        <w:rPr>
          <w:rStyle w:val="Odwoanieprzypisudolnego"/>
          <w:rFonts w:ascii="Arial" w:hAnsi="Arial"/>
        </w:rPr>
        <w:footnoteRef/>
      </w:r>
      <w:r>
        <w:rPr>
          <w:vertAlign w:val="superscript"/>
        </w:rPr>
        <w:t>)</w:t>
      </w:r>
      <w:r w:rsidRPr="00E42CCF">
        <w:t xml:space="preserve"> </w:t>
      </w:r>
      <w:r>
        <w:t xml:space="preserve">Niniejsze rozporządzenie było poprzedzone </w:t>
      </w:r>
      <w:r w:rsidRPr="00E42CCF">
        <w:t>rozporządzenie</w:t>
      </w:r>
      <w:r>
        <w:t>m</w:t>
      </w:r>
      <w:r w:rsidRPr="00E42CCF">
        <w:t xml:space="preserve"> Ministra Zdrowia z dnia 2 lutego 2011 r. w sprawie kryteriów raportow</w:t>
      </w:r>
      <w:smartTag w:uri="urn:schemas-microsoft-com:office:smarttags" w:element="PersonName">
        <w:r w:rsidRPr="00E42CCF">
          <w:t>ania</w:t>
        </w:r>
      </w:smartTag>
      <w:r w:rsidRPr="00E42CCF">
        <w:t xml:space="preserve"> zdarzeń z wyrobami, sposobu zgłasz</w:t>
      </w:r>
      <w:smartTag w:uri="urn:schemas-microsoft-com:office:smarttags" w:element="PersonName">
        <w:r w:rsidRPr="00E42CCF">
          <w:t>ania</w:t>
        </w:r>
      </w:smartTag>
      <w:r w:rsidRPr="00E42CCF">
        <w:t xml:space="preserve"> incydentów medycznych i działań z zakresu bezpieczeństwa wyrobów (Dz. U. Nr 33, poz. 167)</w:t>
      </w:r>
      <w:r w:rsidRPr="00DE62A1">
        <w:t xml:space="preserve">, które </w:t>
      </w:r>
      <w:r w:rsidRPr="00DE62A1">
        <w:rPr>
          <w:lang w:eastAsia="en-US"/>
        </w:rPr>
        <w:t xml:space="preserve">traci moc z dniem </w:t>
      </w:r>
      <w:r w:rsidR="00102C8F">
        <w:t xml:space="preserve">21 lutego 2016 r. w związku z </w:t>
      </w:r>
      <w:r w:rsidRPr="00DE62A1">
        <w:rPr>
          <w:lang w:eastAsia="en-US"/>
        </w:rPr>
        <w:t>wejści</w:t>
      </w:r>
      <w:r w:rsidR="00102C8F">
        <w:t>em</w:t>
      </w:r>
      <w:r w:rsidRPr="00DE62A1">
        <w:rPr>
          <w:lang w:eastAsia="en-US"/>
        </w:rPr>
        <w:t xml:space="preserve"> w życie ustawy z dnia </w:t>
      </w:r>
      <w:r w:rsidR="00963124">
        <w:t>11 września</w:t>
      </w:r>
      <w:r w:rsidRPr="00DE62A1">
        <w:rPr>
          <w:lang w:eastAsia="en-US"/>
        </w:rPr>
        <w:t xml:space="preserve"> 201</w:t>
      </w:r>
      <w:r>
        <w:rPr>
          <w:lang w:eastAsia="en-US"/>
        </w:rPr>
        <w:t>5</w:t>
      </w:r>
      <w:r w:rsidRPr="00DE62A1">
        <w:rPr>
          <w:lang w:eastAsia="en-US"/>
        </w:rPr>
        <w:t xml:space="preserve"> r. o zmianie ustawy o wyrobach medycznych oraz niektórych innych ustaw (Dz. U. poz. </w:t>
      </w:r>
      <w:r w:rsidR="00102C8F">
        <w:t>1918</w:t>
      </w:r>
      <w:r w:rsidRPr="00DE62A1">
        <w:rPr>
          <w:lang w:eastAsia="en-US"/>
        </w:rPr>
        <w:t>)</w:t>
      </w:r>
      <w:r w:rsidRPr="00DE62A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84" w:rsidRDefault="00007078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Projekt z dnia </w:t>
    </w:r>
    <w:r w:rsidR="009F3506">
      <w:t>2</w:t>
    </w:r>
    <w:r w:rsidR="00DF3681">
      <w:t>0</w:t>
    </w:r>
    <w:r w:rsidR="006B7484" w:rsidRPr="007F2B7B">
      <w:rPr>
        <w:rFonts w:ascii="Arial" w:hAnsi="Arial" w:cs="Arial"/>
        <w:sz w:val="20"/>
        <w:szCs w:val="20"/>
      </w:rPr>
      <w:t>.</w:t>
    </w:r>
    <w:r w:rsidR="00DF3681">
      <w:t>1</w:t>
    </w:r>
    <w:r w:rsidR="00102C8F">
      <w:t>1</w:t>
    </w:r>
    <w:r w:rsidR="006B7484" w:rsidRPr="007F2B7B">
      <w:rPr>
        <w:rFonts w:ascii="Arial" w:hAnsi="Arial" w:cs="Arial"/>
        <w:sz w:val="20"/>
        <w:szCs w:val="20"/>
      </w:rPr>
      <w:t>.</w:t>
    </w:r>
    <w:r w:rsidR="00EA022F"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1E7710">
      <w:fldChar w:fldCharType="begin"/>
    </w:r>
    <w:r>
      <w:instrText xml:space="preserve"> PAGE  \* MERGEFORMAT </w:instrText>
    </w:r>
    <w:r w:rsidR="001E7710">
      <w:fldChar w:fldCharType="separate"/>
    </w:r>
    <w:r w:rsidR="008F65FD">
      <w:rPr>
        <w:noProof/>
      </w:rPr>
      <w:t>9</w:t>
    </w:r>
    <w:r w:rsidR="001E771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1B4"/>
    <w:multiLevelType w:val="singleLevel"/>
    <w:tmpl w:val="1ECCD4F4"/>
    <w:lvl w:ilvl="0">
      <w:start w:val="1"/>
      <w:numFmt w:val="decimal"/>
      <w:pStyle w:val="Nagwek3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6"/>
    <w:rsid w:val="000012DA"/>
    <w:rsid w:val="0000246E"/>
    <w:rsid w:val="00003862"/>
    <w:rsid w:val="00007078"/>
    <w:rsid w:val="00012A35"/>
    <w:rsid w:val="00016099"/>
    <w:rsid w:val="00017DC2"/>
    <w:rsid w:val="00021522"/>
    <w:rsid w:val="00023471"/>
    <w:rsid w:val="00023F13"/>
    <w:rsid w:val="000261AE"/>
    <w:rsid w:val="00030634"/>
    <w:rsid w:val="000319C1"/>
    <w:rsid w:val="00031A8B"/>
    <w:rsid w:val="00031BCA"/>
    <w:rsid w:val="000330FA"/>
    <w:rsid w:val="0003362F"/>
    <w:rsid w:val="000347FD"/>
    <w:rsid w:val="00036B63"/>
    <w:rsid w:val="00037E1A"/>
    <w:rsid w:val="00041926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07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F74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C8F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35F"/>
    <w:rsid w:val="001D2CB4"/>
    <w:rsid w:val="001D53CD"/>
    <w:rsid w:val="001D55A3"/>
    <w:rsid w:val="001D5AF5"/>
    <w:rsid w:val="001E1E73"/>
    <w:rsid w:val="001E4E0C"/>
    <w:rsid w:val="001E526D"/>
    <w:rsid w:val="001E5655"/>
    <w:rsid w:val="001E7710"/>
    <w:rsid w:val="001F1832"/>
    <w:rsid w:val="001F220F"/>
    <w:rsid w:val="001F25B3"/>
    <w:rsid w:val="001F6616"/>
    <w:rsid w:val="00202BD4"/>
    <w:rsid w:val="00204A97"/>
    <w:rsid w:val="002114EF"/>
    <w:rsid w:val="0021563D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6D8"/>
    <w:rsid w:val="00271013"/>
    <w:rsid w:val="00273FE4"/>
    <w:rsid w:val="002765B4"/>
    <w:rsid w:val="00276A94"/>
    <w:rsid w:val="00280C9E"/>
    <w:rsid w:val="0028329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48B"/>
    <w:rsid w:val="002E1DE3"/>
    <w:rsid w:val="002E2AB6"/>
    <w:rsid w:val="002E318F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372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E0C"/>
    <w:rsid w:val="003D12C2"/>
    <w:rsid w:val="003D31B9"/>
    <w:rsid w:val="003D3867"/>
    <w:rsid w:val="003E0D1A"/>
    <w:rsid w:val="003E2DA3"/>
    <w:rsid w:val="003E7EB4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888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9F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4EFC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9A6"/>
    <w:rsid w:val="00607478"/>
    <w:rsid w:val="00607A93"/>
    <w:rsid w:val="00610C08"/>
    <w:rsid w:val="00611F74"/>
    <w:rsid w:val="00615674"/>
    <w:rsid w:val="00615772"/>
    <w:rsid w:val="00621256"/>
    <w:rsid w:val="00621FCC"/>
    <w:rsid w:val="00622E4B"/>
    <w:rsid w:val="00630781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48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C4D"/>
    <w:rsid w:val="006A35D5"/>
    <w:rsid w:val="006A748A"/>
    <w:rsid w:val="006B748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F75"/>
    <w:rsid w:val="00701952"/>
    <w:rsid w:val="00702556"/>
    <w:rsid w:val="0070277E"/>
    <w:rsid w:val="00704156"/>
    <w:rsid w:val="007069FC"/>
    <w:rsid w:val="00711221"/>
    <w:rsid w:val="00712675"/>
    <w:rsid w:val="007135D8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14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F72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60D"/>
    <w:rsid w:val="008460B6"/>
    <w:rsid w:val="00850C9D"/>
    <w:rsid w:val="00852B59"/>
    <w:rsid w:val="0085457B"/>
    <w:rsid w:val="00855C0B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BC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ED0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D27"/>
    <w:rsid w:val="008C5BE0"/>
    <w:rsid w:val="008C7233"/>
    <w:rsid w:val="008D2434"/>
    <w:rsid w:val="008E0534"/>
    <w:rsid w:val="008E171D"/>
    <w:rsid w:val="008E2785"/>
    <w:rsid w:val="008E78A3"/>
    <w:rsid w:val="008F0654"/>
    <w:rsid w:val="008F06CB"/>
    <w:rsid w:val="008F2E83"/>
    <w:rsid w:val="008F612A"/>
    <w:rsid w:val="008F65F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124"/>
    <w:rsid w:val="00963864"/>
    <w:rsid w:val="00963EEB"/>
    <w:rsid w:val="009648BC"/>
    <w:rsid w:val="00964C2F"/>
    <w:rsid w:val="00965F88"/>
    <w:rsid w:val="00971641"/>
    <w:rsid w:val="00984E03"/>
    <w:rsid w:val="00987E85"/>
    <w:rsid w:val="00990E1A"/>
    <w:rsid w:val="0099180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506"/>
    <w:rsid w:val="009F501D"/>
    <w:rsid w:val="00A039D5"/>
    <w:rsid w:val="00A046AD"/>
    <w:rsid w:val="00A0637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353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7D6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EFA"/>
    <w:rsid w:val="00AE367F"/>
    <w:rsid w:val="00AE4179"/>
    <w:rsid w:val="00AE4425"/>
    <w:rsid w:val="00AE4FBE"/>
    <w:rsid w:val="00AE650F"/>
    <w:rsid w:val="00AE6555"/>
    <w:rsid w:val="00AE7D16"/>
    <w:rsid w:val="00AE7FC1"/>
    <w:rsid w:val="00AF4CAA"/>
    <w:rsid w:val="00AF571A"/>
    <w:rsid w:val="00AF60A0"/>
    <w:rsid w:val="00AF67FC"/>
    <w:rsid w:val="00AF7DF5"/>
    <w:rsid w:val="00B006E5"/>
    <w:rsid w:val="00B024C2"/>
    <w:rsid w:val="00B07700"/>
    <w:rsid w:val="00B12BE1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024"/>
    <w:rsid w:val="00B371CC"/>
    <w:rsid w:val="00B41BDF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4FB6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872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8F0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B43"/>
    <w:rsid w:val="00C76417"/>
    <w:rsid w:val="00C7726F"/>
    <w:rsid w:val="00C823DA"/>
    <w:rsid w:val="00C8259F"/>
    <w:rsid w:val="00C82746"/>
    <w:rsid w:val="00C8312F"/>
    <w:rsid w:val="00C84C47"/>
    <w:rsid w:val="00C853AA"/>
    <w:rsid w:val="00C858A4"/>
    <w:rsid w:val="00C86AFA"/>
    <w:rsid w:val="00C958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2DC"/>
    <w:rsid w:val="00CD214E"/>
    <w:rsid w:val="00CD46FA"/>
    <w:rsid w:val="00CD5973"/>
    <w:rsid w:val="00CE31A6"/>
    <w:rsid w:val="00CF09AA"/>
    <w:rsid w:val="00CF4813"/>
    <w:rsid w:val="00CF5233"/>
    <w:rsid w:val="00D0133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68A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5ED"/>
    <w:rsid w:val="00D96884"/>
    <w:rsid w:val="00DA3FDD"/>
    <w:rsid w:val="00DA7017"/>
    <w:rsid w:val="00DA7028"/>
    <w:rsid w:val="00DB1AD2"/>
    <w:rsid w:val="00DB2B58"/>
    <w:rsid w:val="00DB303C"/>
    <w:rsid w:val="00DB5206"/>
    <w:rsid w:val="00DB6276"/>
    <w:rsid w:val="00DB63F5"/>
    <w:rsid w:val="00DC1C6B"/>
    <w:rsid w:val="00DC2C2E"/>
    <w:rsid w:val="00DC4AF0"/>
    <w:rsid w:val="00DC7886"/>
    <w:rsid w:val="00DD0CF2"/>
    <w:rsid w:val="00DD3C18"/>
    <w:rsid w:val="00DE1554"/>
    <w:rsid w:val="00DE2901"/>
    <w:rsid w:val="00DE590F"/>
    <w:rsid w:val="00DE7DC1"/>
    <w:rsid w:val="00DF368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82F"/>
    <w:rsid w:val="00E83ADD"/>
    <w:rsid w:val="00E84F38"/>
    <w:rsid w:val="00E85623"/>
    <w:rsid w:val="00E87441"/>
    <w:rsid w:val="00E91FAE"/>
    <w:rsid w:val="00E96E3F"/>
    <w:rsid w:val="00EA022F"/>
    <w:rsid w:val="00EA270C"/>
    <w:rsid w:val="00EA42AA"/>
    <w:rsid w:val="00EA45E2"/>
    <w:rsid w:val="00EA4974"/>
    <w:rsid w:val="00EA532E"/>
    <w:rsid w:val="00EB06D9"/>
    <w:rsid w:val="00EB192B"/>
    <w:rsid w:val="00EB19ED"/>
    <w:rsid w:val="00EB1CAB"/>
    <w:rsid w:val="00EB73F6"/>
    <w:rsid w:val="00EC0F5A"/>
    <w:rsid w:val="00EC3D82"/>
    <w:rsid w:val="00EC4265"/>
    <w:rsid w:val="00EC4CEB"/>
    <w:rsid w:val="00EC659E"/>
    <w:rsid w:val="00ED2072"/>
    <w:rsid w:val="00ED2AE0"/>
    <w:rsid w:val="00ED4C91"/>
    <w:rsid w:val="00ED5553"/>
    <w:rsid w:val="00ED5E36"/>
    <w:rsid w:val="00ED6961"/>
    <w:rsid w:val="00EE48F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6B0"/>
    <w:rsid w:val="00F2668F"/>
    <w:rsid w:val="00F2742F"/>
    <w:rsid w:val="00F2753B"/>
    <w:rsid w:val="00F33F8B"/>
    <w:rsid w:val="00F340B2"/>
    <w:rsid w:val="00F43390"/>
    <w:rsid w:val="00F43455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34F"/>
    <w:rsid w:val="00FA13C2"/>
    <w:rsid w:val="00FA3161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3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uiPriority="99"/>
    <w:lsdException w:name="index 2" w:locked="0" w:uiPriority="99"/>
    <w:lsdException w:name="index 3" w:locked="0" w:uiPriority="99"/>
    <w:lsdException w:name="index 4" w:locked="0" w:uiPriority="99"/>
    <w:lsdException w:name="index 5" w:locked="0" w:uiPriority="99"/>
    <w:lsdException w:name="index 6" w:locked="0" w:uiPriority="99"/>
    <w:lsdException w:name="index 7" w:locked="0" w:uiPriority="99"/>
    <w:lsdException w:name="index 8" w:locked="0" w:uiPriority="99"/>
    <w:lsdException w:name="index 9" w:locked="0" w:uiPriority="99"/>
    <w:lsdException w:name="toc 1" w:locked="0"/>
    <w:lsdException w:name="toc 2" w:locked="0"/>
    <w:lsdException w:name="toc 3" w:locked="0"/>
    <w:lsdException w:name="toc 4" w:locked="0"/>
    <w:lsdException w:name="toc 5" w:locked="0" w:uiPriority="99"/>
    <w:lsdException w:name="toc 6" w:locked="0" w:uiPriority="99"/>
    <w:lsdException w:name="toc 7" w:locked="0" w:uiPriority="99"/>
    <w:lsdException w:name="toc 8" w:locked="0" w:uiPriority="99"/>
    <w:lsdException w:name="toc 9" w:locked="0" w:uiPriority="99"/>
    <w:lsdException w:name="Normal Indent" w:locked="0" w:uiPriority="99"/>
    <w:lsdException w:name="footnote text" w:uiPriority="99" w:qFormat="1"/>
    <w:lsdException w:name="annotation text" w:locked="0"/>
    <w:lsdException w:name="header" w:locked="0"/>
    <w:lsdException w:name="footer" w:locked="0" w:uiPriority="99"/>
    <w:lsdException w:name="index heading" w:locked="0" w:uiPriority="99"/>
    <w:lsdException w:name="caption" w:locked="0" w:uiPriority="99" w:qFormat="1"/>
    <w:lsdException w:name="table of figures" w:locked="0" w:uiPriority="99"/>
    <w:lsdException w:name="envelope address" w:locked="0" w:uiPriority="99"/>
    <w:lsdException w:name="envelope return" w:locked="0" w:uiPriority="99"/>
    <w:lsdException w:name="footnote reference" w:locked="0"/>
    <w:lsdException w:name="annotation reference" w:locked="0"/>
    <w:lsdException w:name="line number" w:locked="0" w:uiPriority="99"/>
    <w:lsdException w:name="page number" w:locked="0"/>
    <w:lsdException w:name="endnote reference" w:locked="0" w:uiPriority="99"/>
    <w:lsdException w:name="endnote text" w:locked="0"/>
    <w:lsdException w:name="table of authorities" w:locked="0" w:uiPriority="99"/>
    <w:lsdException w:name="macro" w:locked="0" w:uiPriority="99"/>
    <w:lsdException w:name="toa heading" w:locked="0"/>
    <w:lsdException w:name="List" w:locked="0"/>
    <w:lsdException w:name="List Bullet" w:locked="0" w:uiPriority="99"/>
    <w:lsdException w:name="List Number" w:locked="0" w:uiPriority="99" w:unhideWhenUsed="0"/>
    <w:lsdException w:name="List 2" w:locked="0" w:uiPriority="99"/>
    <w:lsdException w:name="List 3" w:locked="0" w:uiPriority="99"/>
    <w:lsdException w:name="List 4" w:locked="0" w:uiPriority="99" w:unhideWhenUsed="0"/>
    <w:lsdException w:name="List 5" w:locked="0" w:uiPriority="99" w:unhideWhenUsed="0"/>
    <w:lsdException w:name="List Bullet 2" w:locked="0" w:uiPriority="99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 w:uiPriority="99"/>
    <w:lsdException w:name="List Number 3" w:locked="0" w:uiPriority="99"/>
    <w:lsdException w:name="List Number 4" w:locked="0" w:uiPriority="99"/>
    <w:lsdException w:name="List Number 5" w:locked="0" w:uiPriority="99"/>
    <w:lsdException w:name="Title" w:locked="0" w:unhideWhenUsed="0" w:qFormat="1"/>
    <w:lsdException w:name="Closing" w:locked="0" w:uiPriority="99"/>
    <w:lsdException w:name="Signature" w:locked="0" w:uiPriority="99"/>
    <w:lsdException w:name="Default Paragraph Font" w:locked="0" w:uiPriority="1"/>
    <w:lsdException w:name="Body Text" w:locked="0"/>
    <w:lsdException w:name="Body Text Indent" w:locked="0"/>
    <w:lsdException w:name="List Continue" w:locked="0" w:uiPriority="99"/>
    <w:lsdException w:name="List Continue 2" w:locked="0" w:uiPriority="99"/>
    <w:lsdException w:name="List Continue 3" w:locked="0" w:uiPriority="99"/>
    <w:lsdException w:name="List Continue 4" w:locked="0" w:uiPriority="99"/>
    <w:lsdException w:name="List Continue 5" w:locked="0" w:uiPriority="99"/>
    <w:lsdException w:name="Message Header" w:locked="0" w:uiPriority="99"/>
    <w:lsdException w:name="Subtitle" w:locked="0" w:uiPriority="99" w:unhideWhenUsed="0"/>
    <w:lsdException w:name="Salutation" w:locked="0" w:uiPriority="99" w:unhideWhenUsed="0"/>
    <w:lsdException w:name="Date" w:locked="0" w:unhideWhenUsed="0"/>
    <w:lsdException w:name="Body Text First Indent" w:locked="0" w:uiPriority="99" w:unhideWhenUsed="0"/>
    <w:lsdException w:name="Body Text First Indent 2" w:locked="0" w:uiPriority="99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99"/>
    <w:lsdException w:name="Hyperlink" w:locked="0"/>
    <w:lsdException w:name="FollowedHyperlink" w:locked="0"/>
    <w:lsdException w:name="Strong" w:locked="0" w:uiPriority="99" w:unhideWhenUsed="0" w:qFormat="1"/>
    <w:lsdException w:name="Emphasis" w:locked="0" w:uiPriority="99" w:unhideWhenUsed="0"/>
    <w:lsdException w:name="Document Map" w:locked="0" w:uiPriority="99"/>
    <w:lsdException w:name="Plain Text" w:locked="0" w:uiPriority="99"/>
    <w:lsdException w:name="E-mail Signature" w:locked="0" w:uiPriority="99"/>
    <w:lsdException w:name="HTML Top of Form" w:locked="0"/>
    <w:lsdException w:name="HTML Bottom of Form" w:locked="0"/>
    <w:lsdException w:name="Normal (Web)" w:locked="0"/>
    <w:lsdException w:name="HTML Acronym" w:locked="0" w:uiPriority="99"/>
    <w:lsdException w:name="HTML Address" w:locked="0" w:uiPriority="99"/>
    <w:lsdException w:name="HTML Cite" w:locked="0" w:uiPriority="99"/>
    <w:lsdException w:name="HTML Code" w:locked="0" w:uiPriority="99"/>
    <w:lsdException w:name="HTML Definition" w:locked="0" w:uiPriority="99"/>
    <w:lsdException w:name="HTML Keyboard" w:locked="0" w:uiPriority="99"/>
    <w:lsdException w:name="HTML Preformatted" w:locked="0" w:uiPriority="99"/>
    <w:lsdException w:name="HTML Sample" w:locked="0" w:uiPriority="99"/>
    <w:lsdException w:name="HTML Typewriter" w:locked="0" w:uiPriority="99"/>
    <w:lsdException w:name="HTML Variable" w:locked="0" w:uiPriority="99"/>
    <w:lsdException w:name="Normal Table" w:locked="0"/>
    <w:lsdException w:name="annotation subject" w:locked="0"/>
    <w:lsdException w:name="No List" w:locked="0"/>
    <w:lsdException w:name="Outline List 3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uiPriority="99" w:unhideWhenUsed="0"/>
    <w:lsdException w:name="Quote" w:locked="0" w:uiPriority="99" w:unhideWhenUsed="0" w:qFormat="1"/>
    <w:lsdException w:name="Intense Quote" w:locked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99" w:unhideWhenUsed="0"/>
    <w:lsdException w:name="Intense Emphasis" w:locked="0" w:uiPriority="99" w:unhideWhenUsed="0"/>
    <w:lsdException w:name="Subtle Reference" w:locked="0" w:uiPriority="99" w:unhideWhenUsed="0"/>
    <w:lsdException w:name="Intense Reference" w:locked="0" w:uiPriority="99" w:unhideWhenUsed="0"/>
    <w:lsdException w:name="Book Title" w:locked="0" w:uiPriority="99" w:unhideWhenUsed="0"/>
    <w:lsdException w:name="Bibliography" w:locked="0" w:uiPriority="99"/>
    <w:lsdException w:name="TOC Heading" w:locked="0" w:uiPriority="99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B7484"/>
    <w:pPr>
      <w:keepNext/>
      <w:widowControl/>
      <w:numPr>
        <w:ilvl w:val="1"/>
        <w:numId w:val="1"/>
      </w:numPr>
      <w:tabs>
        <w:tab w:val="num" w:pos="576"/>
      </w:tabs>
      <w:autoSpaceDE/>
      <w:autoSpaceDN/>
      <w:adjustRightInd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lang w:val="en-GB" w:eastAsia="de-DE"/>
    </w:rPr>
  </w:style>
  <w:style w:type="paragraph" w:styleId="Nagwek3">
    <w:name w:val="heading 3"/>
    <w:basedOn w:val="Normalny"/>
    <w:next w:val="Normalny"/>
    <w:link w:val="Nagwek3Znak"/>
    <w:qFormat/>
    <w:rsid w:val="006B7484"/>
    <w:pPr>
      <w:keepNext/>
      <w:widowControl/>
      <w:numPr>
        <w:ilvl w:val="2"/>
        <w:numId w:val="1"/>
      </w:numPr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 w:cs="Times New Roman"/>
      <w:lang w:val="en-GB" w:eastAsia="de-DE"/>
    </w:rPr>
  </w:style>
  <w:style w:type="paragraph" w:styleId="Nagwek4">
    <w:name w:val="heading 4"/>
    <w:basedOn w:val="Normalny"/>
    <w:next w:val="Normalny"/>
    <w:link w:val="Nagwek4Znak"/>
    <w:qFormat/>
    <w:rsid w:val="006B7484"/>
    <w:pPr>
      <w:keepNext/>
      <w:widowControl/>
      <w:autoSpaceDE/>
      <w:autoSpaceDN/>
      <w:adjustRightInd/>
      <w:spacing w:line="240" w:lineRule="auto"/>
      <w:outlineLvl w:val="3"/>
    </w:pPr>
    <w:rPr>
      <w:rFonts w:ascii="Arial" w:eastAsia="Times New Roman" w:hAnsi="Arial" w:cs="Times New Roman"/>
      <w:b/>
      <w:sz w:val="20"/>
      <w:lang w:val="en-GB" w:eastAsia="de-DE"/>
    </w:rPr>
  </w:style>
  <w:style w:type="paragraph" w:styleId="Nagwek5">
    <w:name w:val="heading 5"/>
    <w:basedOn w:val="Normalny"/>
    <w:next w:val="Normalny"/>
    <w:link w:val="Nagwek5Znak"/>
    <w:qFormat/>
    <w:rsid w:val="006B7484"/>
    <w:pPr>
      <w:keepNext/>
      <w:widowControl/>
      <w:autoSpaceDE/>
      <w:autoSpaceDN/>
      <w:adjustRightInd/>
      <w:spacing w:line="240" w:lineRule="auto"/>
      <w:outlineLvl w:val="4"/>
    </w:pPr>
    <w:rPr>
      <w:rFonts w:ascii="Arial" w:eastAsia="Times New Roman" w:hAnsi="Arial" w:cs="Times New Roman"/>
      <w:b/>
      <w:sz w:val="28"/>
      <w:lang w:val="fr-BE" w:eastAsia="de-DE"/>
    </w:rPr>
  </w:style>
  <w:style w:type="paragraph" w:styleId="Nagwek6">
    <w:name w:val="heading 6"/>
    <w:basedOn w:val="Normalny"/>
    <w:next w:val="Normalny"/>
    <w:link w:val="Nagwek6Znak"/>
    <w:qFormat/>
    <w:rsid w:val="006B7484"/>
    <w:pPr>
      <w:keepNext/>
      <w:widowControl/>
      <w:autoSpaceDE/>
      <w:autoSpaceDN/>
      <w:adjustRightInd/>
      <w:spacing w:line="240" w:lineRule="auto"/>
      <w:outlineLvl w:val="5"/>
    </w:pPr>
    <w:rPr>
      <w:rFonts w:ascii="Arial" w:eastAsia="Times New Roman" w:hAnsi="Arial" w:cs="Times New Roman"/>
      <w:b/>
      <w:lang w:val="en-GB" w:eastAsia="de-DE"/>
    </w:rPr>
  </w:style>
  <w:style w:type="paragraph" w:styleId="Nagwek7">
    <w:name w:val="heading 7"/>
    <w:basedOn w:val="Normalny"/>
    <w:next w:val="Normalny"/>
    <w:link w:val="Nagwek7Znak"/>
    <w:qFormat/>
    <w:rsid w:val="006B7484"/>
    <w:pPr>
      <w:keepNext/>
      <w:widowControl/>
      <w:tabs>
        <w:tab w:val="left" w:pos="360"/>
      </w:tabs>
      <w:autoSpaceDE/>
      <w:autoSpaceDN/>
      <w:adjustRightInd/>
      <w:spacing w:line="240" w:lineRule="auto"/>
      <w:outlineLvl w:val="6"/>
    </w:pPr>
    <w:rPr>
      <w:rFonts w:ascii="Arial" w:eastAsia="Times New Roman" w:hAnsi="Arial" w:cs="Times New Roman"/>
      <w:color w:val="000000"/>
      <w:lang w:val="fr-BE" w:eastAsia="de-DE"/>
    </w:rPr>
  </w:style>
  <w:style w:type="paragraph" w:styleId="Nagwek8">
    <w:name w:val="heading 8"/>
    <w:basedOn w:val="Normalny"/>
    <w:next w:val="Normalny"/>
    <w:link w:val="Nagwek8Znak"/>
    <w:qFormat/>
    <w:rsid w:val="006B7484"/>
    <w:pPr>
      <w:keepNext/>
      <w:widowControl/>
      <w:tabs>
        <w:tab w:val="left" w:pos="360"/>
        <w:tab w:val="left" w:pos="1080"/>
      </w:tabs>
      <w:autoSpaceDE/>
      <w:autoSpaceDN/>
      <w:adjustRightInd/>
      <w:spacing w:line="240" w:lineRule="auto"/>
      <w:ind w:left="360"/>
      <w:outlineLvl w:val="7"/>
    </w:pPr>
    <w:rPr>
      <w:rFonts w:ascii="Arial" w:eastAsia="Times New Roman" w:hAnsi="Arial" w:cs="Times New Roman"/>
      <w:color w:val="000000"/>
      <w:lang w:val="fr-BE" w:eastAsia="de-DE"/>
    </w:rPr>
  </w:style>
  <w:style w:type="paragraph" w:styleId="Nagwek9">
    <w:name w:val="heading 9"/>
    <w:basedOn w:val="Normalny"/>
    <w:next w:val="Normalny"/>
    <w:link w:val="Nagwek9Znak"/>
    <w:qFormat/>
    <w:rsid w:val="006B7484"/>
    <w:pPr>
      <w:keepNext/>
      <w:widowControl/>
      <w:tabs>
        <w:tab w:val="left" w:pos="1440"/>
      </w:tabs>
      <w:autoSpaceDE/>
      <w:autoSpaceDN/>
      <w:adjustRightInd/>
      <w:spacing w:line="240" w:lineRule="auto"/>
      <w:ind w:left="720"/>
      <w:outlineLvl w:val="8"/>
    </w:pPr>
    <w:rPr>
      <w:rFonts w:ascii="Arial" w:eastAsia="Times New Roman" w:hAnsi="Arial" w:cs="Times New Roman"/>
      <w:color w:val="000000"/>
      <w:sz w:val="20"/>
      <w:u w:val="single"/>
      <w:lang w:val="fr-B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6B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7484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rsid w:val="006B7484"/>
    <w:rPr>
      <w:rFonts w:ascii="Arial" w:hAnsi="Arial"/>
      <w:szCs w:val="20"/>
      <w:lang w:val="en-GB" w:eastAsia="de-DE"/>
    </w:rPr>
  </w:style>
  <w:style w:type="character" w:customStyle="1" w:styleId="Nagwek3Znak">
    <w:name w:val="Nagłówek 3 Znak"/>
    <w:basedOn w:val="Domylnaczcionkaakapitu"/>
    <w:link w:val="Nagwek3"/>
    <w:rsid w:val="006B7484"/>
    <w:rPr>
      <w:rFonts w:ascii="Arial" w:hAnsi="Arial"/>
      <w:szCs w:val="20"/>
      <w:lang w:val="en-GB" w:eastAsia="de-DE"/>
    </w:rPr>
  </w:style>
  <w:style w:type="character" w:customStyle="1" w:styleId="Nagwek4Znak">
    <w:name w:val="Nagłówek 4 Znak"/>
    <w:basedOn w:val="Domylnaczcionkaakapitu"/>
    <w:link w:val="Nagwek4"/>
    <w:rsid w:val="006B7484"/>
    <w:rPr>
      <w:rFonts w:ascii="Arial" w:hAnsi="Arial"/>
      <w:b/>
      <w:sz w:val="20"/>
      <w:szCs w:val="20"/>
      <w:lang w:val="en-GB" w:eastAsia="de-DE"/>
    </w:rPr>
  </w:style>
  <w:style w:type="character" w:customStyle="1" w:styleId="Nagwek5Znak">
    <w:name w:val="Nagłówek 5 Znak"/>
    <w:basedOn w:val="Domylnaczcionkaakapitu"/>
    <w:link w:val="Nagwek5"/>
    <w:rsid w:val="006B7484"/>
    <w:rPr>
      <w:rFonts w:ascii="Arial" w:hAnsi="Arial"/>
      <w:b/>
      <w:sz w:val="28"/>
      <w:szCs w:val="20"/>
      <w:lang w:val="fr-BE" w:eastAsia="de-DE"/>
    </w:rPr>
  </w:style>
  <w:style w:type="character" w:customStyle="1" w:styleId="Nagwek6Znak">
    <w:name w:val="Nagłówek 6 Znak"/>
    <w:basedOn w:val="Domylnaczcionkaakapitu"/>
    <w:link w:val="Nagwek6"/>
    <w:rsid w:val="006B7484"/>
    <w:rPr>
      <w:rFonts w:ascii="Arial" w:hAnsi="Arial"/>
      <w:b/>
      <w:szCs w:val="20"/>
      <w:lang w:val="en-GB" w:eastAsia="de-DE"/>
    </w:rPr>
  </w:style>
  <w:style w:type="character" w:customStyle="1" w:styleId="Nagwek7Znak">
    <w:name w:val="Nagłówek 7 Znak"/>
    <w:basedOn w:val="Domylnaczcionkaakapitu"/>
    <w:link w:val="Nagwek7"/>
    <w:rsid w:val="006B7484"/>
    <w:rPr>
      <w:rFonts w:ascii="Arial" w:hAnsi="Arial"/>
      <w:color w:val="000000"/>
      <w:szCs w:val="20"/>
      <w:lang w:val="fr-BE" w:eastAsia="de-DE"/>
    </w:rPr>
  </w:style>
  <w:style w:type="character" w:customStyle="1" w:styleId="Nagwek8Znak">
    <w:name w:val="Nagłówek 8 Znak"/>
    <w:basedOn w:val="Domylnaczcionkaakapitu"/>
    <w:link w:val="Nagwek8"/>
    <w:rsid w:val="006B7484"/>
    <w:rPr>
      <w:rFonts w:ascii="Arial" w:hAnsi="Arial"/>
      <w:color w:val="000000"/>
      <w:szCs w:val="20"/>
      <w:lang w:val="fr-BE" w:eastAsia="de-DE"/>
    </w:rPr>
  </w:style>
  <w:style w:type="character" w:customStyle="1" w:styleId="Nagwek9Znak">
    <w:name w:val="Nagłówek 9 Znak"/>
    <w:basedOn w:val="Domylnaczcionkaakapitu"/>
    <w:link w:val="Nagwek9"/>
    <w:rsid w:val="006B7484"/>
    <w:rPr>
      <w:rFonts w:ascii="Arial" w:hAnsi="Arial"/>
      <w:color w:val="000000"/>
      <w:sz w:val="20"/>
      <w:szCs w:val="20"/>
      <w:u w:val="single"/>
      <w:lang w:val="fr-BE" w:eastAsia="de-DE"/>
    </w:rPr>
  </w:style>
  <w:style w:type="character" w:styleId="Numerstrony">
    <w:name w:val="page number"/>
    <w:basedOn w:val="Domylnaczcionkaakapitu"/>
    <w:rsid w:val="006B7484"/>
  </w:style>
  <w:style w:type="character" w:styleId="Hipercze">
    <w:name w:val="Hyperlink"/>
    <w:rsid w:val="006B7484"/>
    <w:rPr>
      <w:color w:val="0000FF"/>
      <w:u w:val="none"/>
    </w:rPr>
  </w:style>
  <w:style w:type="character" w:styleId="UyteHipercze">
    <w:name w:val="FollowedHyperlink"/>
    <w:rsid w:val="006B7484"/>
    <w:rPr>
      <w:color w:val="800080"/>
      <w:u w:val="none"/>
    </w:rPr>
  </w:style>
  <w:style w:type="paragraph" w:styleId="Tekstpodstawowy2">
    <w:name w:val="Body Text 2"/>
    <w:basedOn w:val="Normalny"/>
    <w:link w:val="Tekstpodstawowy2Znak"/>
    <w:rsid w:val="006B7484"/>
    <w:pPr>
      <w:widowControl/>
      <w:autoSpaceDE/>
      <w:autoSpaceDN/>
      <w:adjustRightInd/>
      <w:spacing w:line="240" w:lineRule="auto"/>
      <w:ind w:left="426"/>
    </w:pPr>
    <w:rPr>
      <w:rFonts w:ascii="Arial" w:eastAsia="Times New Roman" w:hAnsi="Arial" w:cs="Times New Roman"/>
      <w:color w:val="000000"/>
      <w:sz w:val="20"/>
      <w:lang w:val="en-US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6B7484"/>
    <w:rPr>
      <w:rFonts w:ascii="Arial" w:hAnsi="Arial"/>
      <w:color w:val="000000"/>
      <w:sz w:val="20"/>
      <w:szCs w:val="20"/>
      <w:lang w:val="en-US" w:eastAsia="de-DE"/>
    </w:rPr>
  </w:style>
  <w:style w:type="paragraph" w:styleId="Tekstpodstawowy">
    <w:name w:val="Body Text"/>
    <w:basedOn w:val="Normalny"/>
    <w:link w:val="TekstpodstawowyZnak"/>
    <w:rsid w:val="006B7484"/>
    <w:pPr>
      <w:widowControl/>
      <w:autoSpaceDE/>
      <w:autoSpaceDN/>
      <w:adjustRightInd/>
      <w:spacing w:line="240" w:lineRule="auto"/>
    </w:pPr>
    <w:rPr>
      <w:rFonts w:ascii="Arial" w:eastAsia="Times New Roman" w:hAnsi="Arial" w:cs="Times New Roman"/>
      <w:color w:val="000000"/>
      <w:sz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B7484"/>
    <w:rPr>
      <w:rFonts w:ascii="Arial" w:hAnsi="Arial"/>
      <w:color w:val="000000"/>
      <w:sz w:val="20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rsid w:val="006B7484"/>
    <w:pPr>
      <w:widowControl/>
      <w:autoSpaceDE/>
      <w:autoSpaceDN/>
      <w:adjustRightInd/>
      <w:spacing w:line="240" w:lineRule="auto"/>
    </w:pPr>
    <w:rPr>
      <w:rFonts w:ascii="Arial" w:eastAsia="Times New Roman" w:hAnsi="Arial" w:cs="Times New Roman"/>
      <w:color w:val="FF0000"/>
      <w:sz w:val="20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6B7484"/>
    <w:rPr>
      <w:rFonts w:ascii="Arial" w:hAnsi="Arial"/>
      <w:color w:val="FF0000"/>
      <w:sz w:val="20"/>
      <w:szCs w:val="20"/>
      <w:lang w:val="en-GB" w:eastAsia="de-DE"/>
    </w:rPr>
  </w:style>
  <w:style w:type="paragraph" w:styleId="Tytu">
    <w:name w:val="Title"/>
    <w:basedOn w:val="Normalny"/>
    <w:link w:val="TytuZnak"/>
    <w:qFormat/>
    <w:rsid w:val="006B7484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  <w:lang w:val="en-GB" w:eastAsia="de-DE"/>
    </w:rPr>
  </w:style>
  <w:style w:type="character" w:customStyle="1" w:styleId="TytuZnak">
    <w:name w:val="Tytuł Znak"/>
    <w:basedOn w:val="Domylnaczcionkaakapitu"/>
    <w:link w:val="Tytu"/>
    <w:rsid w:val="006B7484"/>
    <w:rPr>
      <w:rFonts w:ascii="Arial" w:hAnsi="Arial"/>
      <w:b/>
      <w:szCs w:val="20"/>
      <w:lang w:val="en-GB" w:eastAsia="de-DE"/>
    </w:rPr>
  </w:style>
  <w:style w:type="paragraph" w:styleId="Data">
    <w:name w:val="Date"/>
    <w:basedOn w:val="Normalny"/>
    <w:next w:val="Normalny"/>
    <w:link w:val="DataZnak"/>
    <w:rsid w:val="006B7484"/>
    <w:pPr>
      <w:widowControl/>
      <w:autoSpaceDE/>
      <w:autoSpaceDN/>
      <w:adjustRightInd/>
      <w:spacing w:line="240" w:lineRule="auto"/>
      <w:ind w:left="5103" w:right="-567"/>
    </w:pPr>
    <w:rPr>
      <w:rFonts w:ascii="Arial" w:eastAsia="Times New Roman" w:hAnsi="Arial" w:cs="Times New Roman"/>
      <w:lang w:val="en-GB" w:eastAsia="de-DE"/>
    </w:rPr>
  </w:style>
  <w:style w:type="character" w:customStyle="1" w:styleId="DataZnak">
    <w:name w:val="Data Znak"/>
    <w:basedOn w:val="Domylnaczcionkaakapitu"/>
    <w:link w:val="Data"/>
    <w:rsid w:val="006B7484"/>
    <w:rPr>
      <w:rFonts w:ascii="Arial" w:hAnsi="Arial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6B7484"/>
    <w:pPr>
      <w:widowControl/>
      <w:autoSpaceDE/>
      <w:autoSpaceDN/>
      <w:adjustRightInd/>
      <w:spacing w:line="240" w:lineRule="auto"/>
      <w:ind w:left="1418" w:hanging="698"/>
    </w:pPr>
    <w:rPr>
      <w:rFonts w:ascii="Arial" w:eastAsia="Times New Roman" w:hAnsi="Arial" w:cs="Times New Roman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7484"/>
    <w:rPr>
      <w:rFonts w:ascii="Arial" w:hAnsi="Arial"/>
      <w:szCs w:val="20"/>
      <w:lang w:val="en-GB" w:eastAsia="de-DE"/>
    </w:rPr>
  </w:style>
  <w:style w:type="paragraph" w:styleId="Lista">
    <w:name w:val="List"/>
    <w:basedOn w:val="Normalny"/>
    <w:rsid w:val="006B7484"/>
    <w:pPr>
      <w:widowControl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sz w:val="20"/>
      <w:lang w:val="en-GB" w:eastAsia="de-DE"/>
    </w:rPr>
  </w:style>
  <w:style w:type="paragraph" w:styleId="NormalnyWeb">
    <w:name w:val="Normal (Web)"/>
    <w:basedOn w:val="Normalny"/>
    <w:rsid w:val="006B74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MS Mincho" w:cs="Times New Roman"/>
      <w:szCs w:val="24"/>
      <w:lang w:val="en-US" w:eastAsia="ja-JP"/>
    </w:rPr>
  </w:style>
  <w:style w:type="paragraph" w:styleId="Spistreci2">
    <w:name w:val="toc 2"/>
    <w:basedOn w:val="Normalny"/>
    <w:next w:val="Normalny"/>
    <w:autoRedefine/>
    <w:semiHidden/>
    <w:rsid w:val="006B7484"/>
    <w:pPr>
      <w:widowControl/>
      <w:tabs>
        <w:tab w:val="left" w:pos="993"/>
        <w:tab w:val="right" w:leader="dot" w:pos="9060"/>
      </w:tabs>
      <w:autoSpaceDE/>
      <w:autoSpaceDN/>
      <w:adjustRightInd/>
      <w:spacing w:line="240" w:lineRule="auto"/>
      <w:ind w:left="993" w:hanging="993"/>
    </w:pPr>
    <w:rPr>
      <w:rFonts w:ascii="Arial" w:eastAsia="Times New Roman" w:hAnsi="Arial" w:cs="Times New Roman"/>
      <w:b/>
      <w:bCs/>
      <w:noProof/>
      <w:sz w:val="20"/>
      <w:lang w:val="en-GB" w:eastAsia="de-DE"/>
    </w:rPr>
  </w:style>
  <w:style w:type="paragraph" w:styleId="Tekstprzypisukocowego">
    <w:name w:val="endnote text"/>
    <w:basedOn w:val="Normalny"/>
    <w:link w:val="TekstprzypisukocowegoZnak"/>
    <w:semiHidden/>
    <w:rsid w:val="006B7484"/>
    <w:pPr>
      <w:widowControl/>
      <w:autoSpaceDE/>
      <w:autoSpaceDN/>
      <w:adjustRightInd/>
      <w:spacing w:line="240" w:lineRule="auto"/>
    </w:pPr>
    <w:rPr>
      <w:rFonts w:ascii="CG Times" w:eastAsia="Times New Roman" w:hAnsi="CG Times" w:cs="Times New Roman"/>
      <w:lang w:val="en-GB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7484"/>
    <w:rPr>
      <w:rFonts w:ascii="CG Times" w:hAnsi="CG Times"/>
      <w:szCs w:val="20"/>
      <w:lang w:val="en-GB" w:eastAsia="de-DE"/>
    </w:rPr>
  </w:style>
  <w:style w:type="paragraph" w:styleId="Nagwekwykazurde">
    <w:name w:val="toa heading"/>
    <w:basedOn w:val="Normalny"/>
    <w:next w:val="Normalny"/>
    <w:semiHidden/>
    <w:rsid w:val="006B7484"/>
    <w:pPr>
      <w:widowControl/>
      <w:tabs>
        <w:tab w:val="right" w:pos="9360"/>
      </w:tabs>
      <w:suppressAutoHyphens/>
      <w:autoSpaceDE/>
      <w:autoSpaceDN/>
      <w:adjustRightInd/>
      <w:spacing w:line="240" w:lineRule="auto"/>
    </w:pPr>
    <w:rPr>
      <w:rFonts w:ascii="CG Times" w:eastAsia="Times New Roman" w:hAnsi="CG Times" w:cs="Times New Roman"/>
      <w:sz w:val="20"/>
      <w:lang w:val="en-US" w:eastAsia="de-DE"/>
    </w:rPr>
  </w:style>
  <w:style w:type="paragraph" w:customStyle="1" w:styleId="a">
    <w:rsid w:val="006B7484"/>
    <w:pPr>
      <w:shd w:val="clear" w:color="auto" w:fill="000080"/>
      <w:spacing w:line="240" w:lineRule="auto"/>
    </w:pPr>
    <w:rPr>
      <w:rFonts w:ascii="Tahoma" w:hAnsi="Tahoma" w:cs="Tahoma"/>
      <w:sz w:val="20"/>
      <w:szCs w:val="20"/>
      <w:lang w:val="en-GB" w:eastAsia="de-DE"/>
    </w:rPr>
  </w:style>
  <w:style w:type="paragraph" w:styleId="Spistreci1">
    <w:name w:val="toc 1"/>
    <w:basedOn w:val="Normalny"/>
    <w:next w:val="Normalny"/>
    <w:autoRedefine/>
    <w:semiHidden/>
    <w:rsid w:val="006B7484"/>
    <w:pPr>
      <w:widowControl/>
      <w:tabs>
        <w:tab w:val="left" w:pos="400"/>
        <w:tab w:val="right" w:leader="dot" w:pos="9060"/>
      </w:tabs>
      <w:autoSpaceDE/>
      <w:autoSpaceDN/>
      <w:adjustRightInd/>
      <w:spacing w:line="240" w:lineRule="auto"/>
    </w:pPr>
    <w:rPr>
      <w:rFonts w:ascii="Arial" w:eastAsia="Times New Roman" w:hAnsi="Arial" w:cs="Times New Roman"/>
      <w:b/>
      <w:bCs/>
      <w:noProof/>
      <w:sz w:val="20"/>
      <w:lang w:val="en-GB" w:eastAsia="de-DE"/>
    </w:rPr>
  </w:style>
  <w:style w:type="paragraph" w:styleId="Spistreci3">
    <w:name w:val="toc 3"/>
    <w:basedOn w:val="Normalny"/>
    <w:next w:val="Normalny"/>
    <w:autoRedefine/>
    <w:semiHidden/>
    <w:rsid w:val="006B7484"/>
    <w:pPr>
      <w:widowControl/>
      <w:tabs>
        <w:tab w:val="left" w:pos="1200"/>
        <w:tab w:val="right" w:leader="dot" w:pos="9060"/>
      </w:tabs>
      <w:autoSpaceDE/>
      <w:autoSpaceDN/>
      <w:adjustRightInd/>
      <w:spacing w:line="240" w:lineRule="auto"/>
      <w:ind w:left="1134" w:hanging="734"/>
    </w:pPr>
    <w:rPr>
      <w:rFonts w:ascii="Arial" w:eastAsia="Times New Roman" w:hAnsi="Arial" w:cs="Times New Roman"/>
      <w:sz w:val="20"/>
      <w:lang w:val="en-GB" w:eastAsia="de-DE"/>
    </w:rPr>
  </w:style>
  <w:style w:type="paragraph" w:styleId="Spistreci4">
    <w:name w:val="toc 4"/>
    <w:basedOn w:val="Normalny"/>
    <w:next w:val="Normalny"/>
    <w:autoRedefine/>
    <w:semiHidden/>
    <w:rsid w:val="006B7484"/>
    <w:pPr>
      <w:widowControl/>
      <w:autoSpaceDE/>
      <w:autoSpaceDN/>
      <w:adjustRightInd/>
      <w:spacing w:line="240" w:lineRule="auto"/>
      <w:ind w:left="600"/>
    </w:pPr>
    <w:rPr>
      <w:rFonts w:ascii="Arial" w:eastAsia="Times New Roman" w:hAnsi="Arial" w:cs="Times New Roman"/>
      <w:sz w:val="20"/>
      <w:lang w:val="en-GB" w:eastAsia="de-DE"/>
    </w:rPr>
  </w:style>
  <w:style w:type="paragraph" w:styleId="Poprawka">
    <w:name w:val="Revision"/>
    <w:hidden/>
    <w:uiPriority w:val="99"/>
    <w:semiHidden/>
    <w:rsid w:val="006B7484"/>
    <w:pPr>
      <w:spacing w:line="240" w:lineRule="auto"/>
    </w:pPr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B7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74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uiPriority="99"/>
    <w:lsdException w:name="index 2" w:locked="0" w:uiPriority="99"/>
    <w:lsdException w:name="index 3" w:locked="0" w:uiPriority="99"/>
    <w:lsdException w:name="index 4" w:locked="0" w:uiPriority="99"/>
    <w:lsdException w:name="index 5" w:locked="0" w:uiPriority="99"/>
    <w:lsdException w:name="index 6" w:locked="0" w:uiPriority="99"/>
    <w:lsdException w:name="index 7" w:locked="0" w:uiPriority="99"/>
    <w:lsdException w:name="index 8" w:locked="0" w:uiPriority="99"/>
    <w:lsdException w:name="index 9" w:locked="0" w:uiPriority="99"/>
    <w:lsdException w:name="toc 1" w:locked="0"/>
    <w:lsdException w:name="toc 2" w:locked="0"/>
    <w:lsdException w:name="toc 3" w:locked="0"/>
    <w:lsdException w:name="toc 4" w:locked="0"/>
    <w:lsdException w:name="toc 5" w:locked="0" w:uiPriority="99"/>
    <w:lsdException w:name="toc 6" w:locked="0" w:uiPriority="99"/>
    <w:lsdException w:name="toc 7" w:locked="0" w:uiPriority="99"/>
    <w:lsdException w:name="toc 8" w:locked="0" w:uiPriority="99"/>
    <w:lsdException w:name="toc 9" w:locked="0" w:uiPriority="99"/>
    <w:lsdException w:name="Normal Indent" w:locked="0" w:uiPriority="99"/>
    <w:lsdException w:name="footnote text" w:uiPriority="99" w:qFormat="1"/>
    <w:lsdException w:name="annotation text" w:locked="0"/>
    <w:lsdException w:name="header" w:locked="0"/>
    <w:lsdException w:name="footer" w:locked="0" w:uiPriority="99"/>
    <w:lsdException w:name="index heading" w:locked="0" w:uiPriority="99"/>
    <w:lsdException w:name="caption" w:locked="0" w:uiPriority="99" w:qFormat="1"/>
    <w:lsdException w:name="table of figures" w:locked="0" w:uiPriority="99"/>
    <w:lsdException w:name="envelope address" w:locked="0" w:uiPriority="99"/>
    <w:lsdException w:name="envelope return" w:locked="0" w:uiPriority="99"/>
    <w:lsdException w:name="footnote reference" w:locked="0"/>
    <w:lsdException w:name="annotation reference" w:locked="0"/>
    <w:lsdException w:name="line number" w:locked="0" w:uiPriority="99"/>
    <w:lsdException w:name="page number" w:locked="0"/>
    <w:lsdException w:name="endnote reference" w:locked="0" w:uiPriority="99"/>
    <w:lsdException w:name="endnote text" w:locked="0"/>
    <w:lsdException w:name="table of authorities" w:locked="0" w:uiPriority="99"/>
    <w:lsdException w:name="macro" w:locked="0" w:uiPriority="99"/>
    <w:lsdException w:name="toa heading" w:locked="0"/>
    <w:lsdException w:name="List" w:locked="0"/>
    <w:lsdException w:name="List Bullet" w:locked="0" w:uiPriority="99"/>
    <w:lsdException w:name="List Number" w:locked="0" w:uiPriority="99" w:unhideWhenUsed="0"/>
    <w:lsdException w:name="List 2" w:locked="0" w:uiPriority="99"/>
    <w:lsdException w:name="List 3" w:locked="0" w:uiPriority="99"/>
    <w:lsdException w:name="List 4" w:locked="0" w:uiPriority="99" w:unhideWhenUsed="0"/>
    <w:lsdException w:name="List 5" w:locked="0" w:uiPriority="99" w:unhideWhenUsed="0"/>
    <w:lsdException w:name="List Bullet 2" w:locked="0" w:uiPriority="99"/>
    <w:lsdException w:name="List Bullet 3" w:locked="0" w:uiPriority="99"/>
    <w:lsdException w:name="List Bullet 4" w:locked="0" w:uiPriority="99"/>
    <w:lsdException w:name="List Bullet 5" w:locked="0" w:uiPriority="99"/>
    <w:lsdException w:name="List Number 2" w:locked="0" w:uiPriority="99"/>
    <w:lsdException w:name="List Number 3" w:locked="0" w:uiPriority="99"/>
    <w:lsdException w:name="List Number 4" w:locked="0" w:uiPriority="99"/>
    <w:lsdException w:name="List Number 5" w:locked="0" w:uiPriority="99"/>
    <w:lsdException w:name="Title" w:locked="0" w:unhideWhenUsed="0" w:qFormat="1"/>
    <w:lsdException w:name="Closing" w:locked="0" w:uiPriority="99"/>
    <w:lsdException w:name="Signature" w:locked="0" w:uiPriority="99"/>
    <w:lsdException w:name="Default Paragraph Font" w:locked="0" w:uiPriority="1"/>
    <w:lsdException w:name="Body Text" w:locked="0"/>
    <w:lsdException w:name="Body Text Indent" w:locked="0"/>
    <w:lsdException w:name="List Continue" w:locked="0" w:uiPriority="99"/>
    <w:lsdException w:name="List Continue 2" w:locked="0" w:uiPriority="99"/>
    <w:lsdException w:name="List Continue 3" w:locked="0" w:uiPriority="99"/>
    <w:lsdException w:name="List Continue 4" w:locked="0" w:uiPriority="99"/>
    <w:lsdException w:name="List Continue 5" w:locked="0" w:uiPriority="99"/>
    <w:lsdException w:name="Message Header" w:locked="0" w:uiPriority="99"/>
    <w:lsdException w:name="Subtitle" w:locked="0" w:uiPriority="99" w:unhideWhenUsed="0"/>
    <w:lsdException w:name="Salutation" w:locked="0" w:uiPriority="99" w:unhideWhenUsed="0"/>
    <w:lsdException w:name="Date" w:locked="0" w:unhideWhenUsed="0"/>
    <w:lsdException w:name="Body Text First Indent" w:locked="0" w:uiPriority="99" w:unhideWhenUsed="0"/>
    <w:lsdException w:name="Body Text First Indent 2" w:locked="0" w:uiPriority="99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99"/>
    <w:lsdException w:name="Hyperlink" w:locked="0"/>
    <w:lsdException w:name="FollowedHyperlink" w:locked="0"/>
    <w:lsdException w:name="Strong" w:locked="0" w:uiPriority="99" w:unhideWhenUsed="0" w:qFormat="1"/>
    <w:lsdException w:name="Emphasis" w:locked="0" w:uiPriority="99" w:unhideWhenUsed="0"/>
    <w:lsdException w:name="Document Map" w:locked="0" w:uiPriority="99"/>
    <w:lsdException w:name="Plain Text" w:locked="0" w:uiPriority="99"/>
    <w:lsdException w:name="E-mail Signature" w:locked="0" w:uiPriority="99"/>
    <w:lsdException w:name="HTML Top of Form" w:locked="0"/>
    <w:lsdException w:name="HTML Bottom of Form" w:locked="0"/>
    <w:lsdException w:name="Normal (Web)" w:locked="0"/>
    <w:lsdException w:name="HTML Acronym" w:locked="0" w:uiPriority="99"/>
    <w:lsdException w:name="HTML Address" w:locked="0" w:uiPriority="99"/>
    <w:lsdException w:name="HTML Cite" w:locked="0" w:uiPriority="99"/>
    <w:lsdException w:name="HTML Code" w:locked="0" w:uiPriority="99"/>
    <w:lsdException w:name="HTML Definition" w:locked="0" w:uiPriority="99"/>
    <w:lsdException w:name="HTML Keyboard" w:locked="0" w:uiPriority="99"/>
    <w:lsdException w:name="HTML Preformatted" w:locked="0" w:uiPriority="99"/>
    <w:lsdException w:name="HTML Sample" w:locked="0" w:uiPriority="99"/>
    <w:lsdException w:name="HTML Typewriter" w:locked="0" w:uiPriority="99"/>
    <w:lsdException w:name="HTML Variable" w:locked="0" w:uiPriority="99"/>
    <w:lsdException w:name="Normal Table" w:locked="0"/>
    <w:lsdException w:name="annotation subject" w:locked="0"/>
    <w:lsdException w:name="No List" w:locked="0"/>
    <w:lsdException w:name="Outline List 3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uiPriority="99" w:unhideWhenUsed="0"/>
    <w:lsdException w:name="Quote" w:locked="0" w:uiPriority="99" w:unhideWhenUsed="0" w:qFormat="1"/>
    <w:lsdException w:name="Intense Quote" w:locked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99" w:unhideWhenUsed="0"/>
    <w:lsdException w:name="Intense Emphasis" w:locked="0" w:uiPriority="99" w:unhideWhenUsed="0"/>
    <w:lsdException w:name="Subtle Reference" w:locked="0" w:uiPriority="99" w:unhideWhenUsed="0"/>
    <w:lsdException w:name="Intense Reference" w:locked="0" w:uiPriority="99" w:unhideWhenUsed="0"/>
    <w:lsdException w:name="Book Title" w:locked="0" w:uiPriority="99" w:unhideWhenUsed="0"/>
    <w:lsdException w:name="Bibliography" w:locked="0" w:uiPriority="99"/>
    <w:lsdException w:name="TOC Heading" w:locked="0" w:uiPriority="99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B7484"/>
    <w:pPr>
      <w:keepNext/>
      <w:widowControl/>
      <w:numPr>
        <w:ilvl w:val="1"/>
        <w:numId w:val="1"/>
      </w:numPr>
      <w:tabs>
        <w:tab w:val="num" w:pos="576"/>
      </w:tabs>
      <w:autoSpaceDE/>
      <w:autoSpaceDN/>
      <w:adjustRightInd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lang w:val="en-GB" w:eastAsia="de-DE"/>
    </w:rPr>
  </w:style>
  <w:style w:type="paragraph" w:styleId="Nagwek3">
    <w:name w:val="heading 3"/>
    <w:basedOn w:val="Normalny"/>
    <w:next w:val="Normalny"/>
    <w:link w:val="Nagwek3Znak"/>
    <w:qFormat/>
    <w:rsid w:val="006B7484"/>
    <w:pPr>
      <w:keepNext/>
      <w:widowControl/>
      <w:numPr>
        <w:ilvl w:val="2"/>
        <w:numId w:val="1"/>
      </w:numPr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 w:cs="Times New Roman"/>
      <w:lang w:val="en-GB" w:eastAsia="de-DE"/>
    </w:rPr>
  </w:style>
  <w:style w:type="paragraph" w:styleId="Nagwek4">
    <w:name w:val="heading 4"/>
    <w:basedOn w:val="Normalny"/>
    <w:next w:val="Normalny"/>
    <w:link w:val="Nagwek4Znak"/>
    <w:qFormat/>
    <w:rsid w:val="006B7484"/>
    <w:pPr>
      <w:keepNext/>
      <w:widowControl/>
      <w:autoSpaceDE/>
      <w:autoSpaceDN/>
      <w:adjustRightInd/>
      <w:spacing w:line="240" w:lineRule="auto"/>
      <w:outlineLvl w:val="3"/>
    </w:pPr>
    <w:rPr>
      <w:rFonts w:ascii="Arial" w:eastAsia="Times New Roman" w:hAnsi="Arial" w:cs="Times New Roman"/>
      <w:b/>
      <w:sz w:val="20"/>
      <w:lang w:val="en-GB" w:eastAsia="de-DE"/>
    </w:rPr>
  </w:style>
  <w:style w:type="paragraph" w:styleId="Nagwek5">
    <w:name w:val="heading 5"/>
    <w:basedOn w:val="Normalny"/>
    <w:next w:val="Normalny"/>
    <w:link w:val="Nagwek5Znak"/>
    <w:qFormat/>
    <w:rsid w:val="006B7484"/>
    <w:pPr>
      <w:keepNext/>
      <w:widowControl/>
      <w:autoSpaceDE/>
      <w:autoSpaceDN/>
      <w:adjustRightInd/>
      <w:spacing w:line="240" w:lineRule="auto"/>
      <w:outlineLvl w:val="4"/>
    </w:pPr>
    <w:rPr>
      <w:rFonts w:ascii="Arial" w:eastAsia="Times New Roman" w:hAnsi="Arial" w:cs="Times New Roman"/>
      <w:b/>
      <w:sz w:val="28"/>
      <w:lang w:val="fr-BE" w:eastAsia="de-DE"/>
    </w:rPr>
  </w:style>
  <w:style w:type="paragraph" w:styleId="Nagwek6">
    <w:name w:val="heading 6"/>
    <w:basedOn w:val="Normalny"/>
    <w:next w:val="Normalny"/>
    <w:link w:val="Nagwek6Znak"/>
    <w:qFormat/>
    <w:rsid w:val="006B7484"/>
    <w:pPr>
      <w:keepNext/>
      <w:widowControl/>
      <w:autoSpaceDE/>
      <w:autoSpaceDN/>
      <w:adjustRightInd/>
      <w:spacing w:line="240" w:lineRule="auto"/>
      <w:outlineLvl w:val="5"/>
    </w:pPr>
    <w:rPr>
      <w:rFonts w:ascii="Arial" w:eastAsia="Times New Roman" w:hAnsi="Arial" w:cs="Times New Roman"/>
      <w:b/>
      <w:lang w:val="en-GB" w:eastAsia="de-DE"/>
    </w:rPr>
  </w:style>
  <w:style w:type="paragraph" w:styleId="Nagwek7">
    <w:name w:val="heading 7"/>
    <w:basedOn w:val="Normalny"/>
    <w:next w:val="Normalny"/>
    <w:link w:val="Nagwek7Znak"/>
    <w:qFormat/>
    <w:rsid w:val="006B7484"/>
    <w:pPr>
      <w:keepNext/>
      <w:widowControl/>
      <w:tabs>
        <w:tab w:val="left" w:pos="360"/>
      </w:tabs>
      <w:autoSpaceDE/>
      <w:autoSpaceDN/>
      <w:adjustRightInd/>
      <w:spacing w:line="240" w:lineRule="auto"/>
      <w:outlineLvl w:val="6"/>
    </w:pPr>
    <w:rPr>
      <w:rFonts w:ascii="Arial" w:eastAsia="Times New Roman" w:hAnsi="Arial" w:cs="Times New Roman"/>
      <w:color w:val="000000"/>
      <w:lang w:val="fr-BE" w:eastAsia="de-DE"/>
    </w:rPr>
  </w:style>
  <w:style w:type="paragraph" w:styleId="Nagwek8">
    <w:name w:val="heading 8"/>
    <w:basedOn w:val="Normalny"/>
    <w:next w:val="Normalny"/>
    <w:link w:val="Nagwek8Znak"/>
    <w:qFormat/>
    <w:rsid w:val="006B7484"/>
    <w:pPr>
      <w:keepNext/>
      <w:widowControl/>
      <w:tabs>
        <w:tab w:val="left" w:pos="360"/>
        <w:tab w:val="left" w:pos="1080"/>
      </w:tabs>
      <w:autoSpaceDE/>
      <w:autoSpaceDN/>
      <w:adjustRightInd/>
      <w:spacing w:line="240" w:lineRule="auto"/>
      <w:ind w:left="360"/>
      <w:outlineLvl w:val="7"/>
    </w:pPr>
    <w:rPr>
      <w:rFonts w:ascii="Arial" w:eastAsia="Times New Roman" w:hAnsi="Arial" w:cs="Times New Roman"/>
      <w:color w:val="000000"/>
      <w:lang w:val="fr-BE" w:eastAsia="de-DE"/>
    </w:rPr>
  </w:style>
  <w:style w:type="paragraph" w:styleId="Nagwek9">
    <w:name w:val="heading 9"/>
    <w:basedOn w:val="Normalny"/>
    <w:next w:val="Normalny"/>
    <w:link w:val="Nagwek9Znak"/>
    <w:qFormat/>
    <w:rsid w:val="006B7484"/>
    <w:pPr>
      <w:keepNext/>
      <w:widowControl/>
      <w:tabs>
        <w:tab w:val="left" w:pos="1440"/>
      </w:tabs>
      <w:autoSpaceDE/>
      <w:autoSpaceDN/>
      <w:adjustRightInd/>
      <w:spacing w:line="240" w:lineRule="auto"/>
      <w:ind w:left="720"/>
      <w:outlineLvl w:val="8"/>
    </w:pPr>
    <w:rPr>
      <w:rFonts w:ascii="Arial" w:eastAsia="Times New Roman" w:hAnsi="Arial" w:cs="Times New Roman"/>
      <w:color w:val="000000"/>
      <w:sz w:val="20"/>
      <w:u w:val="single"/>
      <w:lang w:val="fr-B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6B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7484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rsid w:val="006B7484"/>
    <w:rPr>
      <w:rFonts w:ascii="Arial" w:hAnsi="Arial"/>
      <w:szCs w:val="20"/>
      <w:lang w:val="en-GB" w:eastAsia="de-DE"/>
    </w:rPr>
  </w:style>
  <w:style w:type="character" w:customStyle="1" w:styleId="Nagwek3Znak">
    <w:name w:val="Nagłówek 3 Znak"/>
    <w:basedOn w:val="Domylnaczcionkaakapitu"/>
    <w:link w:val="Nagwek3"/>
    <w:rsid w:val="006B7484"/>
    <w:rPr>
      <w:rFonts w:ascii="Arial" w:hAnsi="Arial"/>
      <w:szCs w:val="20"/>
      <w:lang w:val="en-GB" w:eastAsia="de-DE"/>
    </w:rPr>
  </w:style>
  <w:style w:type="character" w:customStyle="1" w:styleId="Nagwek4Znak">
    <w:name w:val="Nagłówek 4 Znak"/>
    <w:basedOn w:val="Domylnaczcionkaakapitu"/>
    <w:link w:val="Nagwek4"/>
    <w:rsid w:val="006B7484"/>
    <w:rPr>
      <w:rFonts w:ascii="Arial" w:hAnsi="Arial"/>
      <w:b/>
      <w:sz w:val="20"/>
      <w:szCs w:val="20"/>
      <w:lang w:val="en-GB" w:eastAsia="de-DE"/>
    </w:rPr>
  </w:style>
  <w:style w:type="character" w:customStyle="1" w:styleId="Nagwek5Znak">
    <w:name w:val="Nagłówek 5 Znak"/>
    <w:basedOn w:val="Domylnaczcionkaakapitu"/>
    <w:link w:val="Nagwek5"/>
    <w:rsid w:val="006B7484"/>
    <w:rPr>
      <w:rFonts w:ascii="Arial" w:hAnsi="Arial"/>
      <w:b/>
      <w:sz w:val="28"/>
      <w:szCs w:val="20"/>
      <w:lang w:val="fr-BE" w:eastAsia="de-DE"/>
    </w:rPr>
  </w:style>
  <w:style w:type="character" w:customStyle="1" w:styleId="Nagwek6Znak">
    <w:name w:val="Nagłówek 6 Znak"/>
    <w:basedOn w:val="Domylnaczcionkaakapitu"/>
    <w:link w:val="Nagwek6"/>
    <w:rsid w:val="006B7484"/>
    <w:rPr>
      <w:rFonts w:ascii="Arial" w:hAnsi="Arial"/>
      <w:b/>
      <w:szCs w:val="20"/>
      <w:lang w:val="en-GB" w:eastAsia="de-DE"/>
    </w:rPr>
  </w:style>
  <w:style w:type="character" w:customStyle="1" w:styleId="Nagwek7Znak">
    <w:name w:val="Nagłówek 7 Znak"/>
    <w:basedOn w:val="Domylnaczcionkaakapitu"/>
    <w:link w:val="Nagwek7"/>
    <w:rsid w:val="006B7484"/>
    <w:rPr>
      <w:rFonts w:ascii="Arial" w:hAnsi="Arial"/>
      <w:color w:val="000000"/>
      <w:szCs w:val="20"/>
      <w:lang w:val="fr-BE" w:eastAsia="de-DE"/>
    </w:rPr>
  </w:style>
  <w:style w:type="character" w:customStyle="1" w:styleId="Nagwek8Znak">
    <w:name w:val="Nagłówek 8 Znak"/>
    <w:basedOn w:val="Domylnaczcionkaakapitu"/>
    <w:link w:val="Nagwek8"/>
    <w:rsid w:val="006B7484"/>
    <w:rPr>
      <w:rFonts w:ascii="Arial" w:hAnsi="Arial"/>
      <w:color w:val="000000"/>
      <w:szCs w:val="20"/>
      <w:lang w:val="fr-BE" w:eastAsia="de-DE"/>
    </w:rPr>
  </w:style>
  <w:style w:type="character" w:customStyle="1" w:styleId="Nagwek9Znak">
    <w:name w:val="Nagłówek 9 Znak"/>
    <w:basedOn w:val="Domylnaczcionkaakapitu"/>
    <w:link w:val="Nagwek9"/>
    <w:rsid w:val="006B7484"/>
    <w:rPr>
      <w:rFonts w:ascii="Arial" w:hAnsi="Arial"/>
      <w:color w:val="000000"/>
      <w:sz w:val="20"/>
      <w:szCs w:val="20"/>
      <w:u w:val="single"/>
      <w:lang w:val="fr-BE" w:eastAsia="de-DE"/>
    </w:rPr>
  </w:style>
  <w:style w:type="character" w:styleId="Numerstrony">
    <w:name w:val="page number"/>
    <w:basedOn w:val="Domylnaczcionkaakapitu"/>
    <w:rsid w:val="006B7484"/>
  </w:style>
  <w:style w:type="character" w:styleId="Hipercze">
    <w:name w:val="Hyperlink"/>
    <w:rsid w:val="006B7484"/>
    <w:rPr>
      <w:color w:val="0000FF"/>
      <w:u w:val="none"/>
    </w:rPr>
  </w:style>
  <w:style w:type="character" w:styleId="UyteHipercze">
    <w:name w:val="FollowedHyperlink"/>
    <w:rsid w:val="006B7484"/>
    <w:rPr>
      <w:color w:val="800080"/>
      <w:u w:val="none"/>
    </w:rPr>
  </w:style>
  <w:style w:type="paragraph" w:styleId="Tekstpodstawowy2">
    <w:name w:val="Body Text 2"/>
    <w:basedOn w:val="Normalny"/>
    <w:link w:val="Tekstpodstawowy2Znak"/>
    <w:rsid w:val="006B7484"/>
    <w:pPr>
      <w:widowControl/>
      <w:autoSpaceDE/>
      <w:autoSpaceDN/>
      <w:adjustRightInd/>
      <w:spacing w:line="240" w:lineRule="auto"/>
      <w:ind w:left="426"/>
    </w:pPr>
    <w:rPr>
      <w:rFonts w:ascii="Arial" w:eastAsia="Times New Roman" w:hAnsi="Arial" w:cs="Times New Roman"/>
      <w:color w:val="000000"/>
      <w:sz w:val="20"/>
      <w:lang w:val="en-US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6B7484"/>
    <w:rPr>
      <w:rFonts w:ascii="Arial" w:hAnsi="Arial"/>
      <w:color w:val="000000"/>
      <w:sz w:val="20"/>
      <w:szCs w:val="20"/>
      <w:lang w:val="en-US" w:eastAsia="de-DE"/>
    </w:rPr>
  </w:style>
  <w:style w:type="paragraph" w:styleId="Tekstpodstawowy">
    <w:name w:val="Body Text"/>
    <w:basedOn w:val="Normalny"/>
    <w:link w:val="TekstpodstawowyZnak"/>
    <w:rsid w:val="006B7484"/>
    <w:pPr>
      <w:widowControl/>
      <w:autoSpaceDE/>
      <w:autoSpaceDN/>
      <w:adjustRightInd/>
      <w:spacing w:line="240" w:lineRule="auto"/>
    </w:pPr>
    <w:rPr>
      <w:rFonts w:ascii="Arial" w:eastAsia="Times New Roman" w:hAnsi="Arial" w:cs="Times New Roman"/>
      <w:color w:val="000000"/>
      <w:sz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B7484"/>
    <w:rPr>
      <w:rFonts w:ascii="Arial" w:hAnsi="Arial"/>
      <w:color w:val="000000"/>
      <w:sz w:val="20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rsid w:val="006B7484"/>
    <w:pPr>
      <w:widowControl/>
      <w:autoSpaceDE/>
      <w:autoSpaceDN/>
      <w:adjustRightInd/>
      <w:spacing w:line="240" w:lineRule="auto"/>
    </w:pPr>
    <w:rPr>
      <w:rFonts w:ascii="Arial" w:eastAsia="Times New Roman" w:hAnsi="Arial" w:cs="Times New Roman"/>
      <w:color w:val="FF0000"/>
      <w:sz w:val="20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6B7484"/>
    <w:rPr>
      <w:rFonts w:ascii="Arial" w:hAnsi="Arial"/>
      <w:color w:val="FF0000"/>
      <w:sz w:val="20"/>
      <w:szCs w:val="20"/>
      <w:lang w:val="en-GB" w:eastAsia="de-DE"/>
    </w:rPr>
  </w:style>
  <w:style w:type="paragraph" w:styleId="Tytu">
    <w:name w:val="Title"/>
    <w:basedOn w:val="Normalny"/>
    <w:link w:val="TytuZnak"/>
    <w:qFormat/>
    <w:rsid w:val="006B7484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  <w:lang w:val="en-GB" w:eastAsia="de-DE"/>
    </w:rPr>
  </w:style>
  <w:style w:type="character" w:customStyle="1" w:styleId="TytuZnak">
    <w:name w:val="Tytuł Znak"/>
    <w:basedOn w:val="Domylnaczcionkaakapitu"/>
    <w:link w:val="Tytu"/>
    <w:rsid w:val="006B7484"/>
    <w:rPr>
      <w:rFonts w:ascii="Arial" w:hAnsi="Arial"/>
      <w:b/>
      <w:szCs w:val="20"/>
      <w:lang w:val="en-GB" w:eastAsia="de-DE"/>
    </w:rPr>
  </w:style>
  <w:style w:type="paragraph" w:styleId="Data">
    <w:name w:val="Date"/>
    <w:basedOn w:val="Normalny"/>
    <w:next w:val="Normalny"/>
    <w:link w:val="DataZnak"/>
    <w:rsid w:val="006B7484"/>
    <w:pPr>
      <w:widowControl/>
      <w:autoSpaceDE/>
      <w:autoSpaceDN/>
      <w:adjustRightInd/>
      <w:spacing w:line="240" w:lineRule="auto"/>
      <w:ind w:left="5103" w:right="-567"/>
    </w:pPr>
    <w:rPr>
      <w:rFonts w:ascii="Arial" w:eastAsia="Times New Roman" w:hAnsi="Arial" w:cs="Times New Roman"/>
      <w:lang w:val="en-GB" w:eastAsia="de-DE"/>
    </w:rPr>
  </w:style>
  <w:style w:type="character" w:customStyle="1" w:styleId="DataZnak">
    <w:name w:val="Data Znak"/>
    <w:basedOn w:val="Domylnaczcionkaakapitu"/>
    <w:link w:val="Data"/>
    <w:rsid w:val="006B7484"/>
    <w:rPr>
      <w:rFonts w:ascii="Arial" w:hAnsi="Arial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6B7484"/>
    <w:pPr>
      <w:widowControl/>
      <w:autoSpaceDE/>
      <w:autoSpaceDN/>
      <w:adjustRightInd/>
      <w:spacing w:line="240" w:lineRule="auto"/>
      <w:ind w:left="1418" w:hanging="698"/>
    </w:pPr>
    <w:rPr>
      <w:rFonts w:ascii="Arial" w:eastAsia="Times New Roman" w:hAnsi="Arial" w:cs="Times New Roman"/>
      <w:lang w:val="en-GB" w:eastAsia="de-D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7484"/>
    <w:rPr>
      <w:rFonts w:ascii="Arial" w:hAnsi="Arial"/>
      <w:szCs w:val="20"/>
      <w:lang w:val="en-GB" w:eastAsia="de-DE"/>
    </w:rPr>
  </w:style>
  <w:style w:type="paragraph" w:styleId="Lista">
    <w:name w:val="List"/>
    <w:basedOn w:val="Normalny"/>
    <w:rsid w:val="006B7484"/>
    <w:pPr>
      <w:widowControl/>
      <w:autoSpaceDE/>
      <w:autoSpaceDN/>
      <w:adjustRightInd/>
      <w:spacing w:line="240" w:lineRule="auto"/>
      <w:ind w:left="283" w:hanging="283"/>
    </w:pPr>
    <w:rPr>
      <w:rFonts w:ascii="Arial" w:eastAsia="Times New Roman" w:hAnsi="Arial" w:cs="Times New Roman"/>
      <w:sz w:val="20"/>
      <w:lang w:val="en-GB" w:eastAsia="de-DE"/>
    </w:rPr>
  </w:style>
  <w:style w:type="paragraph" w:styleId="NormalnyWeb">
    <w:name w:val="Normal (Web)"/>
    <w:basedOn w:val="Normalny"/>
    <w:rsid w:val="006B74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MS Mincho" w:cs="Times New Roman"/>
      <w:szCs w:val="24"/>
      <w:lang w:val="en-US" w:eastAsia="ja-JP"/>
    </w:rPr>
  </w:style>
  <w:style w:type="paragraph" w:styleId="Spistreci2">
    <w:name w:val="toc 2"/>
    <w:basedOn w:val="Normalny"/>
    <w:next w:val="Normalny"/>
    <w:autoRedefine/>
    <w:semiHidden/>
    <w:rsid w:val="006B7484"/>
    <w:pPr>
      <w:widowControl/>
      <w:tabs>
        <w:tab w:val="left" w:pos="993"/>
        <w:tab w:val="right" w:leader="dot" w:pos="9060"/>
      </w:tabs>
      <w:autoSpaceDE/>
      <w:autoSpaceDN/>
      <w:adjustRightInd/>
      <w:spacing w:line="240" w:lineRule="auto"/>
      <w:ind w:left="993" w:hanging="993"/>
    </w:pPr>
    <w:rPr>
      <w:rFonts w:ascii="Arial" w:eastAsia="Times New Roman" w:hAnsi="Arial" w:cs="Times New Roman"/>
      <w:b/>
      <w:bCs/>
      <w:noProof/>
      <w:sz w:val="20"/>
      <w:lang w:val="en-GB" w:eastAsia="de-DE"/>
    </w:rPr>
  </w:style>
  <w:style w:type="paragraph" w:styleId="Tekstprzypisukocowego">
    <w:name w:val="endnote text"/>
    <w:basedOn w:val="Normalny"/>
    <w:link w:val="TekstprzypisukocowegoZnak"/>
    <w:semiHidden/>
    <w:rsid w:val="006B7484"/>
    <w:pPr>
      <w:widowControl/>
      <w:autoSpaceDE/>
      <w:autoSpaceDN/>
      <w:adjustRightInd/>
      <w:spacing w:line="240" w:lineRule="auto"/>
    </w:pPr>
    <w:rPr>
      <w:rFonts w:ascii="CG Times" w:eastAsia="Times New Roman" w:hAnsi="CG Times" w:cs="Times New Roman"/>
      <w:lang w:val="en-GB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7484"/>
    <w:rPr>
      <w:rFonts w:ascii="CG Times" w:hAnsi="CG Times"/>
      <w:szCs w:val="20"/>
      <w:lang w:val="en-GB" w:eastAsia="de-DE"/>
    </w:rPr>
  </w:style>
  <w:style w:type="paragraph" w:styleId="Nagwekwykazurde">
    <w:name w:val="toa heading"/>
    <w:basedOn w:val="Normalny"/>
    <w:next w:val="Normalny"/>
    <w:semiHidden/>
    <w:rsid w:val="006B7484"/>
    <w:pPr>
      <w:widowControl/>
      <w:tabs>
        <w:tab w:val="right" w:pos="9360"/>
      </w:tabs>
      <w:suppressAutoHyphens/>
      <w:autoSpaceDE/>
      <w:autoSpaceDN/>
      <w:adjustRightInd/>
      <w:spacing w:line="240" w:lineRule="auto"/>
    </w:pPr>
    <w:rPr>
      <w:rFonts w:ascii="CG Times" w:eastAsia="Times New Roman" w:hAnsi="CG Times" w:cs="Times New Roman"/>
      <w:sz w:val="20"/>
      <w:lang w:val="en-US" w:eastAsia="de-DE"/>
    </w:rPr>
  </w:style>
  <w:style w:type="paragraph" w:customStyle="1" w:styleId="a">
    <w:rsid w:val="006B7484"/>
    <w:pPr>
      <w:shd w:val="clear" w:color="auto" w:fill="000080"/>
      <w:spacing w:line="240" w:lineRule="auto"/>
    </w:pPr>
    <w:rPr>
      <w:rFonts w:ascii="Tahoma" w:hAnsi="Tahoma" w:cs="Tahoma"/>
      <w:sz w:val="20"/>
      <w:szCs w:val="20"/>
      <w:lang w:val="en-GB" w:eastAsia="de-DE"/>
    </w:rPr>
  </w:style>
  <w:style w:type="paragraph" w:styleId="Spistreci1">
    <w:name w:val="toc 1"/>
    <w:basedOn w:val="Normalny"/>
    <w:next w:val="Normalny"/>
    <w:autoRedefine/>
    <w:semiHidden/>
    <w:rsid w:val="006B7484"/>
    <w:pPr>
      <w:widowControl/>
      <w:tabs>
        <w:tab w:val="left" w:pos="400"/>
        <w:tab w:val="right" w:leader="dot" w:pos="9060"/>
      </w:tabs>
      <w:autoSpaceDE/>
      <w:autoSpaceDN/>
      <w:adjustRightInd/>
      <w:spacing w:line="240" w:lineRule="auto"/>
    </w:pPr>
    <w:rPr>
      <w:rFonts w:ascii="Arial" w:eastAsia="Times New Roman" w:hAnsi="Arial" w:cs="Times New Roman"/>
      <w:b/>
      <w:bCs/>
      <w:noProof/>
      <w:sz w:val="20"/>
      <w:lang w:val="en-GB" w:eastAsia="de-DE"/>
    </w:rPr>
  </w:style>
  <w:style w:type="paragraph" w:styleId="Spistreci3">
    <w:name w:val="toc 3"/>
    <w:basedOn w:val="Normalny"/>
    <w:next w:val="Normalny"/>
    <w:autoRedefine/>
    <w:semiHidden/>
    <w:rsid w:val="006B7484"/>
    <w:pPr>
      <w:widowControl/>
      <w:tabs>
        <w:tab w:val="left" w:pos="1200"/>
        <w:tab w:val="right" w:leader="dot" w:pos="9060"/>
      </w:tabs>
      <w:autoSpaceDE/>
      <w:autoSpaceDN/>
      <w:adjustRightInd/>
      <w:spacing w:line="240" w:lineRule="auto"/>
      <w:ind w:left="1134" w:hanging="734"/>
    </w:pPr>
    <w:rPr>
      <w:rFonts w:ascii="Arial" w:eastAsia="Times New Roman" w:hAnsi="Arial" w:cs="Times New Roman"/>
      <w:sz w:val="20"/>
      <w:lang w:val="en-GB" w:eastAsia="de-DE"/>
    </w:rPr>
  </w:style>
  <w:style w:type="paragraph" w:styleId="Spistreci4">
    <w:name w:val="toc 4"/>
    <w:basedOn w:val="Normalny"/>
    <w:next w:val="Normalny"/>
    <w:autoRedefine/>
    <w:semiHidden/>
    <w:rsid w:val="006B7484"/>
    <w:pPr>
      <w:widowControl/>
      <w:autoSpaceDE/>
      <w:autoSpaceDN/>
      <w:adjustRightInd/>
      <w:spacing w:line="240" w:lineRule="auto"/>
      <w:ind w:left="600"/>
    </w:pPr>
    <w:rPr>
      <w:rFonts w:ascii="Arial" w:eastAsia="Times New Roman" w:hAnsi="Arial" w:cs="Times New Roman"/>
      <w:sz w:val="20"/>
      <w:lang w:val="en-GB" w:eastAsia="de-DE"/>
    </w:rPr>
  </w:style>
  <w:style w:type="paragraph" w:styleId="Poprawka">
    <w:name w:val="Revision"/>
    <w:hidden/>
    <w:uiPriority w:val="99"/>
    <w:semiHidden/>
    <w:rsid w:val="006B7484"/>
    <w:pPr>
      <w:spacing w:line="240" w:lineRule="auto"/>
    </w:pPr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B7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74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iewiadomski\Desktop\2015%20r\art%2085\art%2085%20_%2027.03.201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7273E4-5A70-4535-B3ED-72A217AA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85 _ 27.03.2015</Template>
  <TotalTime>1</TotalTime>
  <Pages>9</Pages>
  <Words>2571</Words>
  <Characters>15431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Niewiadomski Michał</dc:creator>
  <cp:lastModifiedBy>NIL_KM</cp:lastModifiedBy>
  <cp:revision>2</cp:revision>
  <cp:lastPrinted>2015-11-09T11:13:00Z</cp:lastPrinted>
  <dcterms:created xsi:type="dcterms:W3CDTF">2015-12-31T09:42:00Z</dcterms:created>
  <dcterms:modified xsi:type="dcterms:W3CDTF">2015-12-31T09:42:00Z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