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5" w:rsidRPr="0030110C" w:rsidRDefault="002F021C" w:rsidP="00284F7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10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F3429" w:rsidRPr="0030110C" w:rsidRDefault="00220AA8" w:rsidP="004F4444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Projekt</w:t>
      </w:r>
      <w:r w:rsidR="0064445D">
        <w:rPr>
          <w:rFonts w:ascii="Times New Roman" w:hAnsi="Times New Roman" w:cs="Times New Roman"/>
          <w:sz w:val="24"/>
          <w:szCs w:val="24"/>
        </w:rPr>
        <w:t xml:space="preserve"> niniejszego </w:t>
      </w:r>
      <w:r w:rsidRPr="0030110C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ma na celu realizację upoważnienia </w:t>
      </w:r>
      <w:r w:rsidR="00AF38BF">
        <w:rPr>
          <w:rFonts w:ascii="Times New Roman" w:hAnsi="Times New Roman" w:cs="Times New Roman"/>
          <w:color w:val="000000"/>
          <w:sz w:val="24"/>
          <w:szCs w:val="24"/>
        </w:rPr>
        <w:t xml:space="preserve">zawartego </w:t>
      </w:r>
      <w:r w:rsidR="00D934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8B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 art. 30 ust. 2</w:t>
      </w:r>
      <w:r w:rsidR="000F1C84">
        <w:rPr>
          <w:rFonts w:ascii="Times New Roman" w:hAnsi="Times New Roman" w:cs="Times New Roman"/>
          <w:color w:val="000000"/>
          <w:sz w:val="24"/>
          <w:szCs w:val="24"/>
        </w:rPr>
        <w:t xml:space="preserve"> ustawy z dnia 6 listopada 2008 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0F1C84">
        <w:rPr>
          <w:rFonts w:ascii="Times New Roman" w:hAnsi="Times New Roman" w:cs="Times New Roman"/>
          <w:i/>
          <w:color w:val="000000"/>
          <w:sz w:val="24"/>
          <w:szCs w:val="24"/>
        </w:rPr>
        <w:t>o </w:t>
      </w:r>
      <w:r w:rsidR="007F3429" w:rsidRPr="0030110C">
        <w:rPr>
          <w:rFonts w:ascii="Times New Roman" w:hAnsi="Times New Roman" w:cs="Times New Roman"/>
          <w:i/>
          <w:color w:val="000000"/>
          <w:sz w:val="24"/>
          <w:szCs w:val="24"/>
        </w:rPr>
        <w:t>prawach pacjenta i Rzeczniku Praw Pacjenta</w:t>
      </w:r>
      <w:r w:rsidR="000F1C84">
        <w:rPr>
          <w:rFonts w:ascii="Times New Roman" w:hAnsi="Times New Roman" w:cs="Times New Roman"/>
          <w:color w:val="000000"/>
          <w:sz w:val="24"/>
          <w:szCs w:val="24"/>
        </w:rPr>
        <w:t xml:space="preserve"> (Dz. U. z 2012 r. poz. 159, z </w:t>
      </w:r>
      <w:proofErr w:type="spellStart"/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="000F1C84">
        <w:rPr>
          <w:rFonts w:ascii="Times New Roman" w:hAnsi="Times New Roman" w:cs="Times New Roman"/>
          <w:color w:val="000000"/>
          <w:sz w:val="24"/>
          <w:szCs w:val="24"/>
        </w:rPr>
        <w:t>.) w brzmieniu nadanym ustawą z 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934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1C84">
        <w:rPr>
          <w:rFonts w:ascii="Times New Roman" w:hAnsi="Times New Roman" w:cs="Times New Roman"/>
          <w:color w:val="000000"/>
          <w:sz w:val="24"/>
          <w:szCs w:val="24"/>
        </w:rPr>
        <w:t>12 czerwca 2015 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7F3429" w:rsidRPr="0030110C">
        <w:rPr>
          <w:rFonts w:ascii="Times New Roman" w:hAnsi="Times New Roman" w:cs="Times New Roman"/>
          <w:i/>
          <w:color w:val="000000"/>
          <w:sz w:val="24"/>
          <w:szCs w:val="24"/>
        </w:rPr>
        <w:t>o zmianie ustawy o prawach pacjenta i Rzeczniku Praw Pacjenta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4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>(Dz. U. poz. 1163), która weszła w</w:t>
      </w:r>
      <w:r w:rsidR="000F1C84">
        <w:rPr>
          <w:rFonts w:ascii="Times New Roman" w:hAnsi="Times New Roman" w:cs="Times New Roman"/>
          <w:color w:val="000000"/>
          <w:sz w:val="24"/>
          <w:szCs w:val="24"/>
        </w:rPr>
        <w:t xml:space="preserve"> życie z dniem 28 sierpnia 2015 </w:t>
      </w:r>
      <w:r w:rsidR="007F3429"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7F3429" w:rsidRPr="0030110C" w:rsidRDefault="007F3429" w:rsidP="004F4444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Przepis art. 30 ust. 2 ustawy </w:t>
      </w:r>
      <w:r w:rsidRPr="0030110C">
        <w:rPr>
          <w:rFonts w:ascii="Times New Roman" w:hAnsi="Times New Roman" w:cs="Times New Roman"/>
          <w:i/>
          <w:color w:val="000000"/>
          <w:sz w:val="24"/>
          <w:szCs w:val="24"/>
        </w:rPr>
        <w:t>o prawach pacjenta i Rzeczniku Praw Pacjenta</w:t>
      </w:r>
      <w:r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 w nowym brzmieniu, nakłada na ministra właściwego do spraw wewnętrznych obowiązek określenia</w:t>
      </w:r>
      <w:r w:rsidR="003011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4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16A96" w:rsidRPr="0030110C">
        <w:rPr>
          <w:rFonts w:ascii="Times New Roman" w:hAnsi="Times New Roman" w:cs="Times New Roman"/>
          <w:color w:val="000000"/>
          <w:sz w:val="24"/>
          <w:szCs w:val="24"/>
        </w:rPr>
        <w:t>drodze r</w:t>
      </w:r>
      <w:r w:rsidRPr="0030110C">
        <w:rPr>
          <w:rFonts w:ascii="Times New Roman" w:hAnsi="Times New Roman" w:cs="Times New Roman"/>
          <w:color w:val="000000"/>
          <w:sz w:val="24"/>
          <w:szCs w:val="24"/>
        </w:rPr>
        <w:t>ozporządzeni</w:t>
      </w:r>
      <w:r w:rsidR="00316A96" w:rsidRPr="0030110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011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110C">
        <w:rPr>
          <w:rFonts w:ascii="Times New Roman" w:hAnsi="Times New Roman" w:cs="Times New Roman"/>
          <w:color w:val="000000"/>
          <w:sz w:val="24"/>
          <w:szCs w:val="24"/>
        </w:rPr>
        <w:t xml:space="preserve"> rodzajów i zakresu dokumentacji medycznej, sposobu jej przetwarzania, jak również dodatkowo wzorów określonych rodzajów dokumentacji medycznej, w tym w szczególności wzoru książeczki zdrowia dziecka. </w:t>
      </w:r>
    </w:p>
    <w:p w:rsidR="00490F39" w:rsidRPr="0030110C" w:rsidRDefault="00490F39" w:rsidP="00490F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 xml:space="preserve">Projekt </w:t>
      </w:r>
      <w:r w:rsidR="00103CC3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30110C">
        <w:rPr>
          <w:rFonts w:ascii="Times New Roman" w:hAnsi="Times New Roman" w:cs="Times New Roman"/>
          <w:sz w:val="24"/>
          <w:szCs w:val="24"/>
        </w:rPr>
        <w:t xml:space="preserve">rozporządzenia w znacznej mierze wzorowany jest na dotychczasowych rozwiązaniach wynikających z rozporządzenia </w:t>
      </w:r>
      <w:r w:rsidRPr="00490F39">
        <w:rPr>
          <w:rFonts w:ascii="Times New Roman" w:hAnsi="Times New Roman" w:cs="Times New Roman"/>
          <w:sz w:val="24"/>
          <w:szCs w:val="24"/>
        </w:rPr>
        <w:t xml:space="preserve">Ministra Spraw Wewnętrznych </w:t>
      </w:r>
      <w:r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490F39">
        <w:rPr>
          <w:rFonts w:ascii="Times New Roman" w:hAnsi="Times New Roman" w:cs="Times New Roman"/>
          <w:sz w:val="24"/>
          <w:szCs w:val="24"/>
        </w:rPr>
        <w:t xml:space="preserve">z dnia 18 maja 2011 r. </w:t>
      </w:r>
      <w:r w:rsidRPr="00490F39">
        <w:rPr>
          <w:rFonts w:ascii="Times New Roman" w:hAnsi="Times New Roman" w:cs="Times New Roman"/>
          <w:i/>
          <w:sz w:val="24"/>
          <w:szCs w:val="24"/>
        </w:rPr>
        <w:t xml:space="preserve">w sprawie rodzaju i zakresu oraz sposobu przetwarzania dokumentacji medycznej w zakładach opieki zdrowotnej utworzonych przez ministra właściwego do spraw wewnętrznych </w:t>
      </w:r>
      <w:r w:rsidRPr="00490F39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Nr 125, poz. 712).</w:t>
      </w:r>
    </w:p>
    <w:p w:rsidR="00D2454B" w:rsidRPr="0030110C" w:rsidRDefault="001E24F3" w:rsidP="004F44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W stosunku do aktualnie obowiązujących regulacji</w:t>
      </w:r>
      <w:r w:rsidR="00A12785">
        <w:rPr>
          <w:rFonts w:ascii="Times New Roman" w:hAnsi="Times New Roman" w:cs="Times New Roman"/>
          <w:sz w:val="24"/>
          <w:szCs w:val="24"/>
        </w:rPr>
        <w:t>,</w:t>
      </w:r>
      <w:r w:rsidRPr="0030110C">
        <w:rPr>
          <w:rFonts w:ascii="Times New Roman" w:hAnsi="Times New Roman" w:cs="Times New Roman"/>
          <w:sz w:val="24"/>
          <w:szCs w:val="24"/>
        </w:rPr>
        <w:t xml:space="preserve"> </w:t>
      </w:r>
      <w:r w:rsidR="00AF38BF" w:rsidRPr="0030110C">
        <w:rPr>
          <w:rFonts w:ascii="Times New Roman" w:hAnsi="Times New Roman" w:cs="Times New Roman"/>
          <w:sz w:val="24"/>
          <w:szCs w:val="24"/>
        </w:rPr>
        <w:t xml:space="preserve">najistotniejsze </w:t>
      </w:r>
      <w:r w:rsidR="00C30704">
        <w:rPr>
          <w:rFonts w:ascii="Times New Roman" w:hAnsi="Times New Roman" w:cs="Times New Roman"/>
          <w:sz w:val="24"/>
          <w:szCs w:val="24"/>
        </w:rPr>
        <w:t xml:space="preserve">wprowadzone w projekcie rozporządzenia </w:t>
      </w:r>
      <w:r w:rsidR="00AF38BF" w:rsidRPr="0030110C">
        <w:rPr>
          <w:rFonts w:ascii="Times New Roman" w:hAnsi="Times New Roman" w:cs="Times New Roman"/>
          <w:sz w:val="24"/>
          <w:szCs w:val="24"/>
        </w:rPr>
        <w:t xml:space="preserve">zmiany </w:t>
      </w:r>
      <w:r w:rsidR="00C30704">
        <w:rPr>
          <w:rFonts w:ascii="Times New Roman" w:hAnsi="Times New Roman" w:cs="Times New Roman"/>
          <w:sz w:val="24"/>
          <w:szCs w:val="24"/>
        </w:rPr>
        <w:t>polegają na:</w:t>
      </w:r>
    </w:p>
    <w:p w:rsidR="00D93430" w:rsidRDefault="00D2454B" w:rsidP="004F4444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wprowadzeni</w:t>
      </w:r>
      <w:r w:rsidR="00F23B48">
        <w:rPr>
          <w:rFonts w:ascii="Times New Roman" w:hAnsi="Times New Roman" w:cs="Times New Roman"/>
          <w:sz w:val="24"/>
          <w:szCs w:val="24"/>
        </w:rPr>
        <w:t>u</w:t>
      </w:r>
      <w:r w:rsidRPr="0030110C">
        <w:rPr>
          <w:rFonts w:ascii="Times New Roman" w:hAnsi="Times New Roman" w:cs="Times New Roman"/>
          <w:sz w:val="24"/>
          <w:szCs w:val="24"/>
        </w:rPr>
        <w:t xml:space="preserve"> </w:t>
      </w:r>
      <w:r w:rsidRPr="0030110C">
        <w:rPr>
          <w:rFonts w:ascii="Times New Roman" w:hAnsi="Times New Roman" w:cs="Times New Roman"/>
          <w:i/>
          <w:sz w:val="24"/>
          <w:szCs w:val="24"/>
        </w:rPr>
        <w:t>okołooperacyjnej karty</w:t>
      </w:r>
      <w:r w:rsidR="001E24F3" w:rsidRPr="00301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10C">
        <w:rPr>
          <w:rFonts w:ascii="Times New Roman" w:hAnsi="Times New Roman" w:cs="Times New Roman"/>
          <w:i/>
          <w:sz w:val="24"/>
          <w:szCs w:val="24"/>
        </w:rPr>
        <w:t>kontrolnej</w:t>
      </w:r>
      <w:r w:rsidR="00DC52A1" w:rsidRPr="00301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85" w:rsidRPr="00A12785">
        <w:rPr>
          <w:rFonts w:ascii="Times New Roman" w:hAnsi="Times New Roman" w:cs="Times New Roman"/>
          <w:sz w:val="24"/>
          <w:szCs w:val="24"/>
        </w:rPr>
        <w:t>(§ 22 projektu rozporządzenia)</w:t>
      </w:r>
      <w:r w:rsidR="00D93430">
        <w:rPr>
          <w:rFonts w:ascii="Times New Roman" w:hAnsi="Times New Roman" w:cs="Times New Roman"/>
          <w:sz w:val="24"/>
          <w:szCs w:val="24"/>
        </w:rPr>
        <w:t>.</w:t>
      </w:r>
    </w:p>
    <w:p w:rsidR="008A6A4E" w:rsidRDefault="00D93430" w:rsidP="00D93430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powyższego dokumentu ma na celu uporządkowanie</w:t>
      </w:r>
      <w:r w:rsidR="0009403F" w:rsidRPr="0030110C">
        <w:rPr>
          <w:rFonts w:ascii="Times New Roman" w:hAnsi="Times New Roman" w:cs="Times New Roman"/>
          <w:sz w:val="24"/>
          <w:szCs w:val="24"/>
        </w:rPr>
        <w:t xml:space="preserve"> procedur służących ograniczeniu ryzyka wystąpienia błędu lub pomyłki podczas wykonywania </w:t>
      </w:r>
      <w:r w:rsidR="003A0F2C" w:rsidRPr="0030110C">
        <w:rPr>
          <w:rFonts w:ascii="Times New Roman" w:hAnsi="Times New Roman" w:cs="Times New Roman"/>
          <w:sz w:val="24"/>
          <w:szCs w:val="24"/>
        </w:rPr>
        <w:t>zabiegów operacyjnych oraz zapewnieni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0F2C" w:rsidRPr="0030110C">
        <w:rPr>
          <w:rFonts w:ascii="Times New Roman" w:hAnsi="Times New Roman" w:cs="Times New Roman"/>
          <w:sz w:val="24"/>
          <w:szCs w:val="24"/>
        </w:rPr>
        <w:t xml:space="preserve"> wykonania niezbędnych czynności </w:t>
      </w:r>
      <w:r w:rsidR="009B053D" w:rsidRPr="0030110C">
        <w:rPr>
          <w:rFonts w:ascii="Times New Roman" w:hAnsi="Times New Roman" w:cs="Times New Roman"/>
          <w:sz w:val="24"/>
          <w:szCs w:val="24"/>
        </w:rPr>
        <w:t xml:space="preserve">przed rozpoczęciem operacji, w trakcie jej trwania oraz po jej zakończeniu. </w:t>
      </w:r>
    </w:p>
    <w:p w:rsidR="008A6A4E" w:rsidRDefault="009B053D" w:rsidP="008A6A4E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Aktualnie</w:t>
      </w:r>
      <w:r w:rsidR="008A6A4E">
        <w:rPr>
          <w:rFonts w:ascii="Times New Roman" w:hAnsi="Times New Roman" w:cs="Times New Roman"/>
          <w:sz w:val="24"/>
          <w:szCs w:val="24"/>
        </w:rPr>
        <w:t>,</w:t>
      </w:r>
      <w:r w:rsidRPr="0030110C">
        <w:rPr>
          <w:rFonts w:ascii="Times New Roman" w:hAnsi="Times New Roman" w:cs="Times New Roman"/>
          <w:sz w:val="24"/>
          <w:szCs w:val="24"/>
        </w:rPr>
        <w:t xml:space="preserve"> kartę taką prowadzą </w:t>
      </w:r>
      <w:r w:rsidR="00F23B48">
        <w:rPr>
          <w:rFonts w:ascii="Times New Roman" w:hAnsi="Times New Roman" w:cs="Times New Roman"/>
          <w:sz w:val="24"/>
          <w:szCs w:val="24"/>
        </w:rPr>
        <w:t xml:space="preserve">podmioty lecznicze utworzone przez ministra właściwego do spraw wewnętrznych, </w:t>
      </w:r>
      <w:r w:rsidRPr="0030110C">
        <w:rPr>
          <w:rFonts w:ascii="Times New Roman" w:hAnsi="Times New Roman" w:cs="Times New Roman"/>
          <w:sz w:val="24"/>
          <w:szCs w:val="24"/>
        </w:rPr>
        <w:t xml:space="preserve">które posiadają certyfikat akredytacyjny w zakresie </w:t>
      </w:r>
      <w:r w:rsidR="00FD097D" w:rsidRPr="0030110C">
        <w:rPr>
          <w:rFonts w:ascii="Times New Roman" w:hAnsi="Times New Roman" w:cs="Times New Roman"/>
          <w:sz w:val="24"/>
          <w:szCs w:val="24"/>
        </w:rPr>
        <w:t>udzielania świadczeń zdrowotnych. P</w:t>
      </w:r>
      <w:r w:rsidR="008A6A4E">
        <w:rPr>
          <w:rFonts w:ascii="Times New Roman" w:hAnsi="Times New Roman" w:cs="Times New Roman"/>
          <w:sz w:val="24"/>
          <w:szCs w:val="24"/>
        </w:rPr>
        <w:t xml:space="preserve">o wejściu rozporządzenia w życie wszystkie </w:t>
      </w:r>
      <w:r w:rsidR="001714C4">
        <w:rPr>
          <w:rFonts w:ascii="Times New Roman" w:hAnsi="Times New Roman" w:cs="Times New Roman"/>
          <w:sz w:val="24"/>
          <w:szCs w:val="24"/>
        </w:rPr>
        <w:t>ww. podmioty lecznicze,</w:t>
      </w:r>
      <w:r w:rsidR="008A6A4E">
        <w:rPr>
          <w:rFonts w:ascii="Times New Roman" w:hAnsi="Times New Roman" w:cs="Times New Roman"/>
          <w:sz w:val="24"/>
          <w:szCs w:val="24"/>
        </w:rPr>
        <w:t xml:space="preserve"> </w:t>
      </w:r>
      <w:r w:rsidR="008A6A4E" w:rsidRPr="0030110C">
        <w:rPr>
          <w:rFonts w:ascii="Times New Roman" w:hAnsi="Times New Roman" w:cs="Times New Roman"/>
          <w:sz w:val="24"/>
          <w:szCs w:val="24"/>
        </w:rPr>
        <w:t xml:space="preserve">w których wykonywane są operacje, </w:t>
      </w:r>
      <w:r w:rsidR="008A6A4E">
        <w:rPr>
          <w:rFonts w:ascii="Times New Roman" w:hAnsi="Times New Roman" w:cs="Times New Roman"/>
          <w:sz w:val="24"/>
          <w:szCs w:val="24"/>
        </w:rPr>
        <w:t xml:space="preserve">będą zobowiązane do </w:t>
      </w:r>
      <w:r w:rsidR="008A6A4E" w:rsidRPr="0030110C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8A6A4E">
        <w:rPr>
          <w:rFonts w:ascii="Times New Roman" w:hAnsi="Times New Roman" w:cs="Times New Roman"/>
          <w:sz w:val="24"/>
          <w:szCs w:val="24"/>
        </w:rPr>
        <w:t xml:space="preserve">okołooperacyjnej </w:t>
      </w:r>
      <w:r w:rsidR="008A6A4E" w:rsidRPr="0030110C">
        <w:rPr>
          <w:rFonts w:ascii="Times New Roman" w:hAnsi="Times New Roman" w:cs="Times New Roman"/>
          <w:sz w:val="24"/>
          <w:szCs w:val="24"/>
        </w:rPr>
        <w:t>karty</w:t>
      </w:r>
      <w:r w:rsidR="008A6A4E">
        <w:rPr>
          <w:rFonts w:ascii="Times New Roman" w:hAnsi="Times New Roman" w:cs="Times New Roman"/>
          <w:sz w:val="24"/>
          <w:szCs w:val="24"/>
        </w:rPr>
        <w:t xml:space="preserve"> kontrolnej</w:t>
      </w:r>
      <w:r w:rsidR="008A6A4E" w:rsidRPr="0030110C">
        <w:rPr>
          <w:rFonts w:ascii="Times New Roman" w:hAnsi="Times New Roman" w:cs="Times New Roman"/>
          <w:sz w:val="24"/>
          <w:szCs w:val="24"/>
        </w:rPr>
        <w:t>.</w:t>
      </w:r>
    </w:p>
    <w:p w:rsidR="00735264" w:rsidRPr="0030110C" w:rsidRDefault="00FD097D" w:rsidP="00D64629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W rozporządzeniu proponuje się określenie podstawowego zakresu informacji</w:t>
      </w:r>
      <w:r w:rsidR="009268FB" w:rsidRPr="0030110C">
        <w:rPr>
          <w:rFonts w:ascii="Times New Roman" w:hAnsi="Times New Roman" w:cs="Times New Roman"/>
          <w:sz w:val="24"/>
          <w:szCs w:val="24"/>
        </w:rPr>
        <w:t>,</w:t>
      </w:r>
      <w:r w:rsidRPr="0030110C">
        <w:rPr>
          <w:rFonts w:ascii="Times New Roman" w:hAnsi="Times New Roman" w:cs="Times New Roman"/>
          <w:sz w:val="24"/>
          <w:szCs w:val="24"/>
        </w:rPr>
        <w:t xml:space="preserve"> jakie powinna </w:t>
      </w:r>
      <w:r w:rsidR="00D64629" w:rsidRPr="0030110C">
        <w:rPr>
          <w:rFonts w:ascii="Times New Roman" w:hAnsi="Times New Roman" w:cs="Times New Roman"/>
          <w:sz w:val="24"/>
          <w:szCs w:val="24"/>
        </w:rPr>
        <w:t>zawierać</w:t>
      </w:r>
      <w:r w:rsidR="00D64629">
        <w:rPr>
          <w:rFonts w:ascii="Times New Roman" w:hAnsi="Times New Roman" w:cs="Times New Roman"/>
          <w:sz w:val="24"/>
          <w:szCs w:val="24"/>
        </w:rPr>
        <w:t xml:space="preserve"> okołooperacyjn</w:t>
      </w:r>
      <w:r w:rsidR="00D93430">
        <w:rPr>
          <w:rFonts w:ascii="Times New Roman" w:hAnsi="Times New Roman" w:cs="Times New Roman"/>
          <w:sz w:val="24"/>
          <w:szCs w:val="24"/>
        </w:rPr>
        <w:t>a</w:t>
      </w:r>
      <w:r w:rsidR="00D64629">
        <w:rPr>
          <w:rFonts w:ascii="Times New Roman" w:hAnsi="Times New Roman" w:cs="Times New Roman"/>
          <w:sz w:val="24"/>
          <w:szCs w:val="24"/>
        </w:rPr>
        <w:t xml:space="preserve"> </w:t>
      </w:r>
      <w:r w:rsidRPr="0030110C">
        <w:rPr>
          <w:rFonts w:ascii="Times New Roman" w:hAnsi="Times New Roman" w:cs="Times New Roman"/>
          <w:sz w:val="24"/>
          <w:szCs w:val="24"/>
        </w:rPr>
        <w:t>karta</w:t>
      </w:r>
      <w:r w:rsidR="00D64629">
        <w:rPr>
          <w:rFonts w:ascii="Times New Roman" w:hAnsi="Times New Roman" w:cs="Times New Roman"/>
          <w:sz w:val="24"/>
          <w:szCs w:val="24"/>
        </w:rPr>
        <w:t xml:space="preserve"> kontrolna</w:t>
      </w:r>
      <w:r w:rsidRPr="0030110C">
        <w:rPr>
          <w:rFonts w:ascii="Times New Roman" w:hAnsi="Times New Roman" w:cs="Times New Roman"/>
          <w:sz w:val="24"/>
          <w:szCs w:val="24"/>
        </w:rPr>
        <w:t xml:space="preserve">. Umożliwi to dokonywanie </w:t>
      </w:r>
      <w:r w:rsidRPr="0030110C">
        <w:rPr>
          <w:rFonts w:ascii="Times New Roman" w:hAnsi="Times New Roman" w:cs="Times New Roman"/>
          <w:sz w:val="24"/>
          <w:szCs w:val="24"/>
        </w:rPr>
        <w:lastRenderedPageBreak/>
        <w:t xml:space="preserve">modyfikacji karty i dostosowanie jej do potrzeb operacji wykonywanych w różnych dziedzinach medycyny (ginekologia, </w:t>
      </w:r>
      <w:r w:rsidR="00D21312" w:rsidRPr="0030110C">
        <w:rPr>
          <w:rFonts w:ascii="Times New Roman" w:hAnsi="Times New Roman" w:cs="Times New Roman"/>
          <w:sz w:val="24"/>
          <w:szCs w:val="24"/>
        </w:rPr>
        <w:t xml:space="preserve">neurochirurgia, ortopedia itd.). </w:t>
      </w:r>
    </w:p>
    <w:p w:rsidR="00AE3B32" w:rsidRDefault="00D93B95" w:rsidP="002A59A6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B37">
        <w:rPr>
          <w:rFonts w:ascii="Times New Roman" w:hAnsi="Times New Roman" w:cs="Times New Roman"/>
          <w:sz w:val="24"/>
          <w:szCs w:val="24"/>
        </w:rPr>
        <w:t>wprowadzeni</w:t>
      </w:r>
      <w:r w:rsidR="00AE3B32">
        <w:rPr>
          <w:rFonts w:ascii="Times New Roman" w:hAnsi="Times New Roman" w:cs="Times New Roman"/>
          <w:sz w:val="24"/>
          <w:szCs w:val="24"/>
        </w:rPr>
        <w:t>u</w:t>
      </w:r>
      <w:r w:rsidRPr="00127B37">
        <w:rPr>
          <w:rFonts w:ascii="Times New Roman" w:hAnsi="Times New Roman" w:cs="Times New Roman"/>
          <w:sz w:val="24"/>
          <w:szCs w:val="24"/>
        </w:rPr>
        <w:t xml:space="preserve"> jednolitego wzoru </w:t>
      </w:r>
      <w:r w:rsidRPr="00127B37">
        <w:rPr>
          <w:rFonts w:ascii="Times New Roman" w:hAnsi="Times New Roman" w:cs="Times New Roman"/>
          <w:i/>
          <w:sz w:val="24"/>
          <w:szCs w:val="24"/>
        </w:rPr>
        <w:t>karty przebiegu znieczulenia</w:t>
      </w:r>
      <w:r w:rsidRPr="00127B37">
        <w:rPr>
          <w:rFonts w:ascii="Times New Roman" w:hAnsi="Times New Roman" w:cs="Times New Roman"/>
          <w:sz w:val="24"/>
          <w:szCs w:val="24"/>
        </w:rPr>
        <w:t xml:space="preserve"> </w:t>
      </w:r>
      <w:r w:rsidR="00316A96" w:rsidRPr="00127B37">
        <w:rPr>
          <w:rFonts w:ascii="Times New Roman" w:hAnsi="Times New Roman" w:cs="Times New Roman"/>
          <w:sz w:val="24"/>
          <w:szCs w:val="24"/>
        </w:rPr>
        <w:t>(</w:t>
      </w:r>
      <w:r w:rsidR="00D2702B">
        <w:rPr>
          <w:rFonts w:ascii="Times New Roman" w:hAnsi="Times New Roman" w:cs="Times New Roman"/>
          <w:sz w:val="24"/>
          <w:szCs w:val="24"/>
        </w:rPr>
        <w:t>§</w:t>
      </w:r>
      <w:r w:rsidR="00D93430">
        <w:rPr>
          <w:rFonts w:ascii="Times New Roman" w:hAnsi="Times New Roman" w:cs="Times New Roman"/>
          <w:sz w:val="24"/>
          <w:szCs w:val="24"/>
        </w:rPr>
        <w:t xml:space="preserve"> </w:t>
      </w:r>
      <w:r w:rsidR="00D2702B">
        <w:rPr>
          <w:rFonts w:ascii="Times New Roman" w:hAnsi="Times New Roman" w:cs="Times New Roman"/>
          <w:sz w:val="24"/>
          <w:szCs w:val="24"/>
        </w:rPr>
        <w:t>18</w:t>
      </w:r>
      <w:r w:rsidR="00127B37" w:rsidRPr="00127B37">
        <w:rPr>
          <w:rFonts w:ascii="Times New Roman" w:hAnsi="Times New Roman" w:cs="Times New Roman"/>
          <w:sz w:val="24"/>
          <w:szCs w:val="24"/>
        </w:rPr>
        <w:t xml:space="preserve">, </w:t>
      </w:r>
      <w:r w:rsidR="00316A96" w:rsidRPr="00127B37">
        <w:rPr>
          <w:rFonts w:ascii="Times New Roman" w:hAnsi="Times New Roman" w:cs="Times New Roman"/>
          <w:sz w:val="24"/>
          <w:szCs w:val="24"/>
        </w:rPr>
        <w:t>załącznik nr 3</w:t>
      </w:r>
      <w:r w:rsidR="00127B37" w:rsidRPr="00127B37">
        <w:rPr>
          <w:rFonts w:ascii="Times New Roman" w:hAnsi="Times New Roman" w:cs="Times New Roman"/>
          <w:sz w:val="24"/>
          <w:szCs w:val="24"/>
        </w:rPr>
        <w:t xml:space="preserve"> </w:t>
      </w:r>
      <w:r w:rsidR="00D93430">
        <w:rPr>
          <w:rFonts w:ascii="Times New Roman" w:hAnsi="Times New Roman" w:cs="Times New Roman"/>
          <w:sz w:val="24"/>
          <w:szCs w:val="24"/>
        </w:rPr>
        <w:br/>
      </w:r>
      <w:r w:rsidR="00127B37" w:rsidRPr="00127B37">
        <w:rPr>
          <w:rFonts w:ascii="Times New Roman" w:hAnsi="Times New Roman" w:cs="Times New Roman"/>
          <w:sz w:val="24"/>
          <w:szCs w:val="24"/>
        </w:rPr>
        <w:t>do projektu rozporządzenia</w:t>
      </w:r>
      <w:r w:rsidR="004E26B7" w:rsidRPr="00127B37">
        <w:rPr>
          <w:rFonts w:ascii="Times New Roman" w:hAnsi="Times New Roman" w:cs="Times New Roman"/>
          <w:sz w:val="24"/>
          <w:szCs w:val="24"/>
        </w:rPr>
        <w:t>)</w:t>
      </w:r>
      <w:r w:rsidR="00AE3B32">
        <w:rPr>
          <w:rFonts w:ascii="Times New Roman" w:hAnsi="Times New Roman" w:cs="Times New Roman"/>
          <w:sz w:val="24"/>
          <w:szCs w:val="24"/>
        </w:rPr>
        <w:t xml:space="preserve">, celem </w:t>
      </w:r>
      <w:r w:rsidR="00AE3B32" w:rsidRPr="00127B37">
        <w:rPr>
          <w:rFonts w:ascii="Times New Roman" w:hAnsi="Times New Roman" w:cs="Times New Roman"/>
          <w:sz w:val="24"/>
          <w:szCs w:val="24"/>
        </w:rPr>
        <w:t>uporządkowani</w:t>
      </w:r>
      <w:r w:rsidR="00AE3B32">
        <w:rPr>
          <w:rFonts w:ascii="Times New Roman" w:hAnsi="Times New Roman" w:cs="Times New Roman"/>
          <w:sz w:val="24"/>
          <w:szCs w:val="24"/>
        </w:rPr>
        <w:t>a</w:t>
      </w:r>
      <w:r w:rsidR="00AE3B32" w:rsidRPr="00127B37">
        <w:rPr>
          <w:rFonts w:ascii="Times New Roman" w:hAnsi="Times New Roman" w:cs="Times New Roman"/>
          <w:sz w:val="24"/>
          <w:szCs w:val="24"/>
        </w:rPr>
        <w:t xml:space="preserve"> procedur medycznych stosowanych </w:t>
      </w:r>
      <w:r w:rsidR="00D93430">
        <w:rPr>
          <w:rFonts w:ascii="Times New Roman" w:hAnsi="Times New Roman" w:cs="Times New Roman"/>
          <w:sz w:val="24"/>
          <w:szCs w:val="24"/>
        </w:rPr>
        <w:br/>
      </w:r>
      <w:r w:rsidR="00AE3B32" w:rsidRPr="00127B37">
        <w:rPr>
          <w:rFonts w:ascii="Times New Roman" w:hAnsi="Times New Roman" w:cs="Times New Roman"/>
          <w:sz w:val="24"/>
          <w:szCs w:val="24"/>
        </w:rPr>
        <w:t xml:space="preserve">w </w:t>
      </w:r>
      <w:r w:rsidR="00AE3B32">
        <w:rPr>
          <w:rFonts w:ascii="Times New Roman" w:hAnsi="Times New Roman" w:cs="Times New Roman"/>
          <w:sz w:val="24"/>
          <w:szCs w:val="24"/>
        </w:rPr>
        <w:t xml:space="preserve">podmiotach leczniczych </w:t>
      </w:r>
      <w:r w:rsidR="001714C4">
        <w:rPr>
          <w:rFonts w:ascii="Times New Roman" w:hAnsi="Times New Roman" w:cs="Times New Roman"/>
          <w:sz w:val="24"/>
          <w:szCs w:val="24"/>
        </w:rPr>
        <w:t>utworzonych przez ministra właściwego do spraw wewnętrznych</w:t>
      </w:r>
      <w:r w:rsidR="00AE3B32">
        <w:rPr>
          <w:rFonts w:ascii="Times New Roman" w:hAnsi="Times New Roman" w:cs="Times New Roman"/>
          <w:sz w:val="24"/>
          <w:szCs w:val="24"/>
        </w:rPr>
        <w:t>.</w:t>
      </w:r>
    </w:p>
    <w:p w:rsidR="002E0978" w:rsidRPr="0030110C" w:rsidRDefault="00AE3B32" w:rsidP="004F4444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wprowadzeniu </w:t>
      </w:r>
      <w:r w:rsidR="00D21312" w:rsidRPr="0030110C">
        <w:rPr>
          <w:rFonts w:ascii="Times New Roman" w:hAnsi="Times New Roman" w:cs="Times New Roman"/>
          <w:sz w:val="24"/>
          <w:szCs w:val="24"/>
        </w:rPr>
        <w:t xml:space="preserve">wzoru </w:t>
      </w:r>
      <w:r w:rsidR="00D21312" w:rsidRPr="0030110C">
        <w:rPr>
          <w:rFonts w:ascii="Times New Roman" w:hAnsi="Times New Roman" w:cs="Times New Roman"/>
          <w:i/>
          <w:sz w:val="24"/>
          <w:szCs w:val="24"/>
        </w:rPr>
        <w:t>książeczki zdrowia dziecka</w:t>
      </w:r>
      <w:r w:rsidR="00D21312" w:rsidRPr="0030110C">
        <w:rPr>
          <w:rFonts w:ascii="Times New Roman" w:hAnsi="Times New Roman" w:cs="Times New Roman"/>
          <w:sz w:val="24"/>
          <w:szCs w:val="24"/>
        </w:rPr>
        <w:t xml:space="preserve"> </w:t>
      </w:r>
      <w:r w:rsidR="00316A96" w:rsidRPr="003011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§ 60, </w:t>
      </w:r>
      <w:r w:rsidR="00316A96" w:rsidRPr="0030110C">
        <w:rPr>
          <w:rFonts w:ascii="Times New Roman" w:hAnsi="Times New Roman" w:cs="Times New Roman"/>
          <w:sz w:val="24"/>
          <w:szCs w:val="24"/>
        </w:rPr>
        <w:t>załącznik nr 6</w:t>
      </w:r>
      <w:r w:rsidR="00127B37" w:rsidRPr="00127B37">
        <w:rPr>
          <w:rFonts w:ascii="Times New Roman" w:hAnsi="Times New Roman" w:cs="Times New Roman"/>
          <w:sz w:val="24"/>
          <w:szCs w:val="24"/>
        </w:rPr>
        <w:t xml:space="preserve"> do projektu rozporządzenia</w:t>
      </w:r>
      <w:r w:rsidR="00316A96" w:rsidRPr="0030110C">
        <w:rPr>
          <w:rFonts w:ascii="Times New Roman" w:hAnsi="Times New Roman" w:cs="Times New Roman"/>
          <w:sz w:val="24"/>
          <w:szCs w:val="24"/>
        </w:rPr>
        <w:t>)</w:t>
      </w:r>
      <w:r w:rsidR="002E0978" w:rsidRPr="0030110C">
        <w:rPr>
          <w:rFonts w:ascii="Times New Roman" w:hAnsi="Times New Roman" w:cs="Times New Roman"/>
          <w:sz w:val="24"/>
          <w:szCs w:val="24"/>
        </w:rPr>
        <w:t>.</w:t>
      </w:r>
    </w:p>
    <w:p w:rsidR="00F249F8" w:rsidRDefault="002E0978" w:rsidP="004F444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Kwestie związane z wydawa</w:t>
      </w:r>
      <w:r w:rsidR="00D64629">
        <w:rPr>
          <w:rFonts w:ascii="Times New Roman" w:hAnsi="Times New Roman" w:cs="Times New Roman"/>
          <w:sz w:val="24"/>
          <w:szCs w:val="24"/>
        </w:rPr>
        <w:t>niem książeczki zdrowia dziecka, zakres</w:t>
      </w:r>
      <w:r w:rsidR="00AE3B32">
        <w:rPr>
          <w:rFonts w:ascii="Times New Roman" w:hAnsi="Times New Roman" w:cs="Times New Roman"/>
          <w:sz w:val="24"/>
          <w:szCs w:val="24"/>
        </w:rPr>
        <w:t>em</w:t>
      </w:r>
      <w:r w:rsidR="00D64629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2E15A5">
        <w:rPr>
          <w:rFonts w:ascii="Times New Roman" w:hAnsi="Times New Roman" w:cs="Times New Roman"/>
          <w:sz w:val="24"/>
          <w:szCs w:val="24"/>
        </w:rPr>
        <w:t xml:space="preserve">w niej </w:t>
      </w:r>
      <w:r w:rsidR="00AE3B32">
        <w:rPr>
          <w:rFonts w:ascii="Times New Roman" w:hAnsi="Times New Roman" w:cs="Times New Roman"/>
          <w:sz w:val="24"/>
          <w:szCs w:val="24"/>
        </w:rPr>
        <w:t xml:space="preserve">gromadzonych </w:t>
      </w:r>
      <w:r w:rsidR="00D64629">
        <w:rPr>
          <w:rFonts w:ascii="Times New Roman" w:hAnsi="Times New Roman" w:cs="Times New Roman"/>
          <w:sz w:val="24"/>
          <w:szCs w:val="24"/>
        </w:rPr>
        <w:t xml:space="preserve">oraz </w:t>
      </w:r>
      <w:r w:rsidR="00AE3B32">
        <w:rPr>
          <w:rFonts w:ascii="Times New Roman" w:hAnsi="Times New Roman" w:cs="Times New Roman"/>
          <w:sz w:val="24"/>
          <w:szCs w:val="24"/>
        </w:rPr>
        <w:t xml:space="preserve">dokonywaniem </w:t>
      </w:r>
      <w:r w:rsidR="002E15A5">
        <w:rPr>
          <w:rFonts w:ascii="Times New Roman" w:hAnsi="Times New Roman" w:cs="Times New Roman"/>
          <w:sz w:val="24"/>
          <w:szCs w:val="24"/>
        </w:rPr>
        <w:t>wpisów</w:t>
      </w:r>
      <w:r w:rsidR="00AE3B32">
        <w:rPr>
          <w:rFonts w:ascii="Times New Roman" w:hAnsi="Times New Roman" w:cs="Times New Roman"/>
          <w:sz w:val="24"/>
          <w:szCs w:val="24"/>
        </w:rPr>
        <w:t xml:space="preserve">, </w:t>
      </w:r>
      <w:r w:rsidRPr="0030110C">
        <w:rPr>
          <w:rFonts w:ascii="Times New Roman" w:hAnsi="Times New Roman" w:cs="Times New Roman"/>
          <w:sz w:val="24"/>
          <w:szCs w:val="24"/>
        </w:rPr>
        <w:t>reguluje przepis § 6</w:t>
      </w:r>
      <w:r w:rsidR="00D64629">
        <w:rPr>
          <w:rFonts w:ascii="Times New Roman" w:hAnsi="Times New Roman" w:cs="Times New Roman"/>
          <w:sz w:val="24"/>
          <w:szCs w:val="24"/>
        </w:rPr>
        <w:t>0</w:t>
      </w:r>
      <w:r w:rsidRPr="0030110C">
        <w:rPr>
          <w:rFonts w:ascii="Times New Roman" w:hAnsi="Times New Roman" w:cs="Times New Roman"/>
          <w:sz w:val="24"/>
          <w:szCs w:val="24"/>
        </w:rPr>
        <w:t xml:space="preserve"> </w:t>
      </w:r>
      <w:r w:rsidR="00127B3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0110C">
        <w:rPr>
          <w:rFonts w:ascii="Times New Roman" w:hAnsi="Times New Roman" w:cs="Times New Roman"/>
          <w:sz w:val="24"/>
          <w:szCs w:val="24"/>
        </w:rPr>
        <w:t xml:space="preserve">rozporządzenia. </w:t>
      </w:r>
    </w:p>
    <w:p w:rsidR="009D7E7A" w:rsidRDefault="002E0978" w:rsidP="004F444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 xml:space="preserve">Książeczka zdrowia </w:t>
      </w:r>
      <w:r w:rsidR="004E26B7" w:rsidRPr="0030110C">
        <w:rPr>
          <w:rFonts w:ascii="Times New Roman" w:hAnsi="Times New Roman" w:cs="Times New Roman"/>
          <w:sz w:val="24"/>
          <w:szCs w:val="24"/>
        </w:rPr>
        <w:t xml:space="preserve">dziecka </w:t>
      </w:r>
      <w:r w:rsidR="002E15A5" w:rsidRPr="0030110C">
        <w:rPr>
          <w:rFonts w:ascii="Times New Roman" w:hAnsi="Times New Roman" w:cs="Times New Roman"/>
          <w:sz w:val="24"/>
          <w:szCs w:val="24"/>
        </w:rPr>
        <w:t xml:space="preserve">wydawana będzie przedstawicielowi ustawowemu dziecka </w:t>
      </w:r>
      <w:r w:rsidR="002E15A5">
        <w:rPr>
          <w:rFonts w:ascii="Times New Roman" w:hAnsi="Times New Roman" w:cs="Times New Roman"/>
          <w:sz w:val="24"/>
          <w:szCs w:val="24"/>
        </w:rPr>
        <w:t xml:space="preserve">przez lekarza podmiotu leczniczego </w:t>
      </w:r>
      <w:r w:rsidR="001714C4">
        <w:rPr>
          <w:rFonts w:ascii="Times New Roman" w:hAnsi="Times New Roman" w:cs="Times New Roman"/>
          <w:sz w:val="24"/>
          <w:szCs w:val="24"/>
        </w:rPr>
        <w:t>utworzonego przez ministra właściwego do spraw wewnętrznych</w:t>
      </w:r>
      <w:r w:rsidR="002E15A5">
        <w:rPr>
          <w:rFonts w:ascii="Times New Roman" w:hAnsi="Times New Roman" w:cs="Times New Roman"/>
          <w:sz w:val="24"/>
          <w:szCs w:val="24"/>
        </w:rPr>
        <w:t xml:space="preserve">, w którym nastąpił poród albo do którego przyjęto noworodka urodzonego w warunkach </w:t>
      </w:r>
      <w:proofErr w:type="spellStart"/>
      <w:r w:rsidR="002E15A5">
        <w:rPr>
          <w:rFonts w:ascii="Times New Roman" w:hAnsi="Times New Roman" w:cs="Times New Roman"/>
          <w:sz w:val="24"/>
          <w:szCs w:val="24"/>
        </w:rPr>
        <w:t>pozaszpitalnych</w:t>
      </w:r>
      <w:proofErr w:type="spellEnd"/>
      <w:r w:rsidR="002E15A5">
        <w:rPr>
          <w:rFonts w:ascii="Times New Roman" w:hAnsi="Times New Roman" w:cs="Times New Roman"/>
          <w:sz w:val="24"/>
          <w:szCs w:val="24"/>
        </w:rPr>
        <w:t xml:space="preserve">, w momencie wypisu </w:t>
      </w:r>
      <w:r w:rsidR="002E15A5" w:rsidRPr="0030110C">
        <w:rPr>
          <w:rFonts w:ascii="Times New Roman" w:hAnsi="Times New Roman" w:cs="Times New Roman"/>
          <w:sz w:val="24"/>
          <w:szCs w:val="24"/>
        </w:rPr>
        <w:t>ze szpitala</w:t>
      </w:r>
      <w:r w:rsidR="002E15A5">
        <w:rPr>
          <w:rFonts w:ascii="Times New Roman" w:hAnsi="Times New Roman" w:cs="Times New Roman"/>
          <w:sz w:val="24"/>
          <w:szCs w:val="24"/>
        </w:rPr>
        <w:t>.</w:t>
      </w:r>
      <w:r w:rsidR="00F249F8">
        <w:rPr>
          <w:rFonts w:ascii="Times New Roman" w:hAnsi="Times New Roman" w:cs="Times New Roman"/>
          <w:sz w:val="24"/>
          <w:szCs w:val="24"/>
        </w:rPr>
        <w:t xml:space="preserve"> Zawiera ona informacje </w:t>
      </w:r>
      <w:r w:rsidR="00F249F8" w:rsidRPr="0030110C">
        <w:rPr>
          <w:rFonts w:ascii="Times New Roman" w:hAnsi="Times New Roman" w:cs="Times New Roman"/>
          <w:sz w:val="24"/>
          <w:szCs w:val="24"/>
        </w:rPr>
        <w:t>dotyczą</w:t>
      </w:r>
      <w:r w:rsidR="00F249F8">
        <w:rPr>
          <w:rFonts w:ascii="Times New Roman" w:hAnsi="Times New Roman" w:cs="Times New Roman"/>
          <w:sz w:val="24"/>
          <w:szCs w:val="24"/>
        </w:rPr>
        <w:t xml:space="preserve">ce </w:t>
      </w:r>
      <w:r w:rsidR="00F249F8" w:rsidRPr="0030110C">
        <w:rPr>
          <w:rFonts w:ascii="Times New Roman" w:hAnsi="Times New Roman" w:cs="Times New Roman"/>
          <w:sz w:val="24"/>
          <w:szCs w:val="24"/>
        </w:rPr>
        <w:t>stanu zdrowia dziecka</w:t>
      </w:r>
      <w:r w:rsidR="0010648F">
        <w:rPr>
          <w:rFonts w:ascii="Times New Roman" w:hAnsi="Times New Roman" w:cs="Times New Roman"/>
          <w:sz w:val="24"/>
          <w:szCs w:val="24"/>
        </w:rPr>
        <w:t xml:space="preserve"> oraz </w:t>
      </w:r>
      <w:r w:rsidR="00F249F8" w:rsidRPr="0030110C">
        <w:rPr>
          <w:rFonts w:ascii="Times New Roman" w:hAnsi="Times New Roman" w:cs="Times New Roman"/>
          <w:sz w:val="24"/>
          <w:szCs w:val="24"/>
        </w:rPr>
        <w:t>udzielanych świadczeń zdrowotnych</w:t>
      </w:r>
      <w:r w:rsidR="0010648F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F249F8" w:rsidRPr="0030110C">
        <w:rPr>
          <w:rFonts w:ascii="Times New Roman" w:hAnsi="Times New Roman" w:cs="Times New Roman"/>
          <w:sz w:val="24"/>
          <w:szCs w:val="24"/>
        </w:rPr>
        <w:t xml:space="preserve">inne informacje istotne dla oceny rozwoju dziecka od urodzenia do </w:t>
      </w:r>
      <w:r w:rsidR="00F249F8">
        <w:rPr>
          <w:rFonts w:ascii="Times New Roman" w:hAnsi="Times New Roman" w:cs="Times New Roman"/>
          <w:sz w:val="24"/>
          <w:szCs w:val="24"/>
        </w:rPr>
        <w:t xml:space="preserve">uzyskania </w:t>
      </w:r>
      <w:r w:rsidR="00F249F8" w:rsidRPr="0030110C">
        <w:rPr>
          <w:rFonts w:ascii="Times New Roman" w:hAnsi="Times New Roman" w:cs="Times New Roman"/>
          <w:sz w:val="24"/>
          <w:szCs w:val="24"/>
        </w:rPr>
        <w:t>pełnoletności</w:t>
      </w:r>
      <w:r w:rsidR="00F249F8">
        <w:rPr>
          <w:rFonts w:ascii="Times New Roman" w:hAnsi="Times New Roman" w:cs="Times New Roman"/>
          <w:sz w:val="24"/>
          <w:szCs w:val="24"/>
        </w:rPr>
        <w:t>.</w:t>
      </w:r>
      <w:r w:rsidR="0010648F">
        <w:rPr>
          <w:rFonts w:ascii="Times New Roman" w:hAnsi="Times New Roman" w:cs="Times New Roman"/>
          <w:sz w:val="24"/>
          <w:szCs w:val="24"/>
        </w:rPr>
        <w:t xml:space="preserve"> </w:t>
      </w:r>
      <w:r w:rsidR="004E26B7" w:rsidRPr="0030110C">
        <w:rPr>
          <w:rFonts w:ascii="Times New Roman" w:hAnsi="Times New Roman" w:cs="Times New Roman"/>
          <w:sz w:val="24"/>
          <w:szCs w:val="24"/>
        </w:rPr>
        <w:t xml:space="preserve">Zebranie danych dotyczących stanu zdrowia i rozwoju psychoruchowego dziecka na kolejnych etapach rozwoju w jednym dokumencie, ułatwi i usprawni udzielanie świadczeń zdrowotnych w różnych podmiotach leczniczych, co polepszy opiekę zdrowotną nad dziećmi. </w:t>
      </w:r>
    </w:p>
    <w:p w:rsidR="00613AE0" w:rsidRPr="0030110C" w:rsidRDefault="0010648F" w:rsidP="004F4444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E7A">
        <w:rPr>
          <w:rFonts w:ascii="Times New Roman" w:hAnsi="Times New Roman" w:cs="Times New Roman"/>
          <w:sz w:val="24"/>
          <w:szCs w:val="24"/>
        </w:rPr>
        <w:t>Aktualnie</w:t>
      </w:r>
      <w:r w:rsidR="00D934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mimo braku stosownych re</w:t>
      </w:r>
      <w:r w:rsidR="00D93430">
        <w:rPr>
          <w:rFonts w:ascii="Times New Roman" w:hAnsi="Times New Roman" w:cs="Times New Roman"/>
          <w:sz w:val="24"/>
          <w:szCs w:val="24"/>
        </w:rPr>
        <w:t>gulacji prawnych w tym zakresie,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niektóre oddziały noworodkowe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zaopatrują rodziców w </w:t>
      </w:r>
      <w:r w:rsidRPr="009D7E7A">
        <w:rPr>
          <w:rFonts w:ascii="Times New Roman" w:hAnsi="Times New Roman" w:cs="Times New Roman"/>
          <w:sz w:val="24"/>
          <w:szCs w:val="24"/>
          <w:shd w:val="clear" w:color="auto" w:fill="FFFFFF"/>
        </w:rPr>
        <w:t>książeczki zdrowia dziecka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jednakże </w:t>
      </w:r>
      <w:r w:rsidRPr="009D7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forma </w:t>
      </w:r>
      <w:r w:rsidR="00D934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D7E7A">
        <w:rPr>
          <w:rFonts w:ascii="Times New Roman" w:hAnsi="Times New Roman" w:cs="Times New Roman"/>
          <w:sz w:val="24"/>
          <w:szCs w:val="24"/>
          <w:shd w:val="clear" w:color="auto" w:fill="FFFFFF"/>
        </w:rPr>
        <w:t>i zawartość są różne, a prowadzenie i wypełnianie nieobowiązkowe dla personelu medycznego. </w:t>
      </w:r>
      <w:r w:rsidR="00D93430">
        <w:rPr>
          <w:rFonts w:ascii="Times New Roman" w:hAnsi="Times New Roman" w:cs="Times New Roman"/>
          <w:sz w:val="24"/>
          <w:szCs w:val="24"/>
        </w:rPr>
        <w:t xml:space="preserve"> </w:t>
      </w:r>
      <w:r w:rsidR="004E26B7" w:rsidRPr="009D7E7A">
        <w:rPr>
          <w:rFonts w:ascii="Times New Roman" w:hAnsi="Times New Roman" w:cs="Times New Roman"/>
          <w:sz w:val="24"/>
          <w:szCs w:val="24"/>
        </w:rPr>
        <w:t>W</w:t>
      </w:r>
      <w:r w:rsidR="002E0978" w:rsidRPr="009D7E7A">
        <w:rPr>
          <w:rFonts w:ascii="Times New Roman" w:hAnsi="Times New Roman" w:cs="Times New Roman"/>
          <w:sz w:val="24"/>
          <w:szCs w:val="24"/>
        </w:rPr>
        <w:t xml:space="preserve"> projekcie </w:t>
      </w:r>
      <w:r w:rsidR="002E0978" w:rsidRPr="0030110C">
        <w:rPr>
          <w:rFonts w:ascii="Times New Roman" w:hAnsi="Times New Roman" w:cs="Times New Roman"/>
          <w:sz w:val="24"/>
          <w:szCs w:val="24"/>
        </w:rPr>
        <w:t xml:space="preserve">proponuje się, aby książeczka zdrowia </w:t>
      </w:r>
      <w:r w:rsidR="00095571">
        <w:rPr>
          <w:rFonts w:ascii="Times New Roman" w:hAnsi="Times New Roman" w:cs="Times New Roman"/>
          <w:sz w:val="24"/>
          <w:szCs w:val="24"/>
        </w:rPr>
        <w:t xml:space="preserve">dziecka </w:t>
      </w:r>
      <w:r w:rsidR="002E0978" w:rsidRPr="0030110C">
        <w:rPr>
          <w:rFonts w:ascii="Times New Roman" w:hAnsi="Times New Roman" w:cs="Times New Roman"/>
          <w:sz w:val="24"/>
          <w:szCs w:val="24"/>
        </w:rPr>
        <w:t>wydana przed dniem wejścia w życie rozporządzenia</w:t>
      </w:r>
      <w:r w:rsidR="004E26B7" w:rsidRPr="0030110C">
        <w:rPr>
          <w:rFonts w:ascii="Times New Roman" w:hAnsi="Times New Roman" w:cs="Times New Roman"/>
          <w:sz w:val="24"/>
          <w:szCs w:val="24"/>
        </w:rPr>
        <w:t>,</w:t>
      </w:r>
      <w:r w:rsidR="002E0978" w:rsidRPr="0030110C">
        <w:rPr>
          <w:rFonts w:ascii="Times New Roman" w:hAnsi="Times New Roman" w:cs="Times New Roman"/>
          <w:sz w:val="24"/>
          <w:szCs w:val="24"/>
        </w:rPr>
        <w:t xml:space="preserve"> była równoważna książeczce zdrowia</w:t>
      </w:r>
      <w:r w:rsidR="00095571">
        <w:rPr>
          <w:rFonts w:ascii="Times New Roman" w:hAnsi="Times New Roman" w:cs="Times New Roman"/>
          <w:sz w:val="24"/>
          <w:szCs w:val="24"/>
        </w:rPr>
        <w:t xml:space="preserve"> dziecka</w:t>
      </w:r>
      <w:r w:rsidR="002E0978" w:rsidRPr="0030110C">
        <w:rPr>
          <w:rFonts w:ascii="Times New Roman" w:hAnsi="Times New Roman" w:cs="Times New Roman"/>
          <w:sz w:val="24"/>
          <w:szCs w:val="24"/>
        </w:rPr>
        <w:t xml:space="preserve">, </w:t>
      </w:r>
      <w:r w:rsidR="00D93430">
        <w:rPr>
          <w:rFonts w:ascii="Times New Roman" w:hAnsi="Times New Roman" w:cs="Times New Roman"/>
          <w:sz w:val="24"/>
          <w:szCs w:val="24"/>
        </w:rPr>
        <w:br/>
      </w:r>
      <w:r w:rsidR="002E0978" w:rsidRPr="0030110C">
        <w:rPr>
          <w:rFonts w:ascii="Times New Roman" w:hAnsi="Times New Roman" w:cs="Times New Roman"/>
          <w:sz w:val="24"/>
          <w:szCs w:val="24"/>
        </w:rPr>
        <w:t xml:space="preserve">o której mowa w rozporządzeniu. </w:t>
      </w:r>
    </w:p>
    <w:p w:rsidR="00613AE0" w:rsidRPr="0030110C" w:rsidRDefault="00C57B7C" w:rsidP="004F4444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uzupełnieniu</w:t>
      </w:r>
      <w:r w:rsidR="00613AE0" w:rsidRPr="0030110C">
        <w:rPr>
          <w:rFonts w:ascii="Times New Roman" w:hAnsi="Times New Roman" w:cs="Times New Roman"/>
          <w:sz w:val="24"/>
          <w:szCs w:val="24"/>
        </w:rPr>
        <w:t xml:space="preserve"> historii choroby, po wypisaniu pacjenta ze szpitala, o rozpoznanie onkologiczne, ustalone na podstawie wyników badania, które było zlecone w czasie pobytu pacjenta w szpitalu, a wyniki nie były znane w dniu wypisu pacjenta ze szpitala. Historia choroby, po jej uzupełnieniu o wskazane wyżej wyniki badań ponownie byłaby akceptowana i podpisywana przez lekarza kierującego oddziałem. Również dokumentacja zbiorcza (księga główna przyjęć i wypisów oraz księga chorych oddziału) powinna zostać uzupełniona o rozpoznanie ustalone po wypisaniu pacjenta ze szpitala.</w:t>
      </w:r>
    </w:p>
    <w:p w:rsidR="008323EA" w:rsidRDefault="008323EA" w:rsidP="004F4444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usprawnieniu</w:t>
      </w:r>
      <w:r w:rsidR="009D7E7A" w:rsidRPr="0030110C">
        <w:rPr>
          <w:rFonts w:ascii="Times New Roman" w:hAnsi="Times New Roman" w:cs="Times New Roman"/>
          <w:sz w:val="24"/>
          <w:szCs w:val="24"/>
        </w:rPr>
        <w:t xml:space="preserve"> procedury wypisu pacjenta ze szpitala</w:t>
      </w:r>
      <w:r>
        <w:rPr>
          <w:rFonts w:ascii="Times New Roman" w:hAnsi="Times New Roman" w:cs="Times New Roman"/>
          <w:sz w:val="24"/>
          <w:szCs w:val="24"/>
        </w:rPr>
        <w:t xml:space="preserve"> poprzez przyjęcie rozwiązania polegającego na tym, iż </w:t>
      </w:r>
      <w:r w:rsidRPr="0030110C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0110C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30110C">
        <w:rPr>
          <w:rFonts w:ascii="Times New Roman" w:hAnsi="Times New Roman" w:cs="Times New Roman"/>
          <w:sz w:val="24"/>
          <w:szCs w:val="24"/>
        </w:rPr>
        <w:t>z leczenia szpitalnego</w:t>
      </w:r>
      <w:r>
        <w:rPr>
          <w:rFonts w:ascii="Times New Roman" w:hAnsi="Times New Roman" w:cs="Times New Roman"/>
          <w:sz w:val="24"/>
          <w:szCs w:val="24"/>
        </w:rPr>
        <w:t xml:space="preserve"> może podpisać</w:t>
      </w:r>
      <w:r w:rsidR="00B770C8">
        <w:rPr>
          <w:rFonts w:ascii="Times New Roman" w:hAnsi="Times New Roman" w:cs="Times New Roman"/>
          <w:sz w:val="24"/>
          <w:szCs w:val="24"/>
        </w:rPr>
        <w:t xml:space="preserve">, </w:t>
      </w:r>
      <w:r w:rsidR="00D93430">
        <w:rPr>
          <w:rFonts w:ascii="Times New Roman" w:hAnsi="Times New Roman" w:cs="Times New Roman"/>
          <w:sz w:val="24"/>
          <w:szCs w:val="24"/>
        </w:rPr>
        <w:br/>
      </w:r>
      <w:r w:rsidRPr="0030110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30110C">
        <w:rPr>
          <w:rFonts w:ascii="Times New Roman" w:hAnsi="Times New Roman" w:cs="Times New Roman"/>
          <w:sz w:val="24"/>
          <w:szCs w:val="24"/>
        </w:rPr>
        <w:t>nieobecności lekarza kierującego oddziałem</w:t>
      </w:r>
      <w:r w:rsidR="00B770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lekarz przez niego upoważniony (§ 27 ust. 2</w:t>
      </w:r>
      <w:r w:rsidR="00521F6D">
        <w:rPr>
          <w:rFonts w:ascii="Times New Roman" w:hAnsi="Times New Roman" w:cs="Times New Roman"/>
          <w:sz w:val="24"/>
          <w:szCs w:val="24"/>
        </w:rPr>
        <w:t xml:space="preserve"> projektu rozporządzenia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70C8" w:rsidRDefault="00B770C8" w:rsidP="009D7E7A">
      <w:pPr>
        <w:pStyle w:val="Akapitzlist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3AE0" w:rsidRPr="0030110C">
        <w:rPr>
          <w:rFonts w:ascii="Times New Roman" w:hAnsi="Times New Roman" w:cs="Times New Roman"/>
          <w:sz w:val="24"/>
          <w:szCs w:val="24"/>
        </w:rPr>
        <w:t>ktualnie</w:t>
      </w:r>
      <w:r>
        <w:rPr>
          <w:rFonts w:ascii="Times New Roman" w:hAnsi="Times New Roman" w:cs="Times New Roman"/>
          <w:sz w:val="24"/>
          <w:szCs w:val="24"/>
        </w:rPr>
        <w:t xml:space="preserve">, karta </w:t>
      </w:r>
      <w:r w:rsidR="00613AE0" w:rsidRPr="0030110C">
        <w:rPr>
          <w:rFonts w:ascii="Times New Roman" w:hAnsi="Times New Roman" w:cs="Times New Roman"/>
          <w:sz w:val="24"/>
          <w:szCs w:val="24"/>
        </w:rPr>
        <w:t>informacyjn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3AE0" w:rsidRPr="0030110C">
        <w:rPr>
          <w:rFonts w:ascii="Times New Roman" w:hAnsi="Times New Roman" w:cs="Times New Roman"/>
          <w:sz w:val="24"/>
          <w:szCs w:val="24"/>
        </w:rPr>
        <w:t xml:space="preserve"> z leczenia szpitalnego </w:t>
      </w:r>
      <w:r>
        <w:rPr>
          <w:rFonts w:ascii="Times New Roman" w:hAnsi="Times New Roman" w:cs="Times New Roman"/>
          <w:sz w:val="24"/>
          <w:szCs w:val="24"/>
        </w:rPr>
        <w:t xml:space="preserve">podpisywana jest przez </w:t>
      </w:r>
      <w:r w:rsidR="00613AE0" w:rsidRPr="0030110C">
        <w:rPr>
          <w:rFonts w:ascii="Times New Roman" w:hAnsi="Times New Roman" w:cs="Times New Roman"/>
          <w:sz w:val="24"/>
          <w:szCs w:val="24"/>
        </w:rPr>
        <w:t xml:space="preserve">lekarza wypisującego i lekarza kierującego oddziałem. </w:t>
      </w:r>
      <w:r w:rsidR="003973D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973DE" w:rsidRPr="0030110C">
        <w:rPr>
          <w:rFonts w:ascii="Times New Roman" w:hAnsi="Times New Roman" w:cs="Times New Roman"/>
          <w:sz w:val="24"/>
          <w:szCs w:val="24"/>
        </w:rPr>
        <w:t>nieobecn</w:t>
      </w:r>
      <w:r w:rsidR="003973DE">
        <w:rPr>
          <w:rFonts w:ascii="Times New Roman" w:hAnsi="Times New Roman" w:cs="Times New Roman"/>
          <w:sz w:val="24"/>
          <w:szCs w:val="24"/>
        </w:rPr>
        <w:t xml:space="preserve">ości </w:t>
      </w:r>
      <w:r w:rsidR="003973DE" w:rsidRPr="0030110C">
        <w:rPr>
          <w:rFonts w:ascii="Times New Roman" w:hAnsi="Times New Roman" w:cs="Times New Roman"/>
          <w:sz w:val="24"/>
          <w:szCs w:val="24"/>
        </w:rPr>
        <w:t>lekarz</w:t>
      </w:r>
      <w:r w:rsidR="003973DE">
        <w:rPr>
          <w:rFonts w:ascii="Times New Roman" w:hAnsi="Times New Roman" w:cs="Times New Roman"/>
          <w:sz w:val="24"/>
          <w:szCs w:val="24"/>
        </w:rPr>
        <w:t>a kierującego</w:t>
      </w:r>
      <w:r w:rsidR="003973DE" w:rsidRPr="0030110C">
        <w:rPr>
          <w:rFonts w:ascii="Times New Roman" w:hAnsi="Times New Roman" w:cs="Times New Roman"/>
          <w:sz w:val="24"/>
          <w:szCs w:val="24"/>
        </w:rPr>
        <w:t xml:space="preserve"> oddziałem</w:t>
      </w:r>
      <w:r w:rsidR="003973DE">
        <w:rPr>
          <w:rFonts w:ascii="Times New Roman" w:hAnsi="Times New Roman" w:cs="Times New Roman"/>
          <w:sz w:val="24"/>
          <w:szCs w:val="24"/>
        </w:rPr>
        <w:t xml:space="preserve">, </w:t>
      </w:r>
      <w:r w:rsidR="003973DE" w:rsidRPr="0030110C">
        <w:rPr>
          <w:rFonts w:ascii="Times New Roman" w:hAnsi="Times New Roman" w:cs="Times New Roman"/>
          <w:sz w:val="24"/>
          <w:szCs w:val="24"/>
        </w:rPr>
        <w:t>wydanie karty informacyjnej pacjentowi w dniu jego wypisu ze szpitala</w:t>
      </w:r>
      <w:r w:rsidR="003973DE">
        <w:rPr>
          <w:rFonts w:ascii="Times New Roman" w:hAnsi="Times New Roman" w:cs="Times New Roman"/>
          <w:sz w:val="24"/>
          <w:szCs w:val="24"/>
        </w:rPr>
        <w:t xml:space="preserve"> bywa utrudnione</w:t>
      </w:r>
      <w:r w:rsidR="003973DE" w:rsidRPr="0030110C">
        <w:rPr>
          <w:rFonts w:ascii="Times New Roman" w:hAnsi="Times New Roman" w:cs="Times New Roman"/>
          <w:sz w:val="24"/>
          <w:szCs w:val="24"/>
        </w:rPr>
        <w:t>.</w:t>
      </w:r>
    </w:p>
    <w:p w:rsidR="00EC0532" w:rsidRDefault="003973DE" w:rsidP="00EC053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się, aby projektowane r</w:t>
      </w:r>
      <w:r w:rsidR="001F31C2" w:rsidRPr="00EC0532">
        <w:rPr>
          <w:rFonts w:ascii="Times New Roman" w:hAnsi="Times New Roman" w:cs="Times New Roman"/>
          <w:sz w:val="24"/>
          <w:szCs w:val="24"/>
        </w:rPr>
        <w:t>ozporządzenie we</w:t>
      </w:r>
      <w:r>
        <w:rPr>
          <w:rFonts w:ascii="Times New Roman" w:hAnsi="Times New Roman" w:cs="Times New Roman"/>
          <w:sz w:val="24"/>
          <w:szCs w:val="24"/>
        </w:rPr>
        <w:t xml:space="preserve">szło </w:t>
      </w:r>
      <w:r w:rsidR="001F31C2" w:rsidRPr="00EC0532">
        <w:rPr>
          <w:rFonts w:ascii="Times New Roman" w:hAnsi="Times New Roman" w:cs="Times New Roman"/>
          <w:sz w:val="24"/>
          <w:szCs w:val="24"/>
        </w:rPr>
        <w:t>w życie po upływie 14 dni od dnia ogłoszenia.</w:t>
      </w:r>
      <w:r w:rsidR="00EC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C2" w:rsidRPr="00EC0532" w:rsidRDefault="00EC0532" w:rsidP="00EC053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C0532">
        <w:rPr>
          <w:rFonts w:ascii="Times New Roman" w:hAnsi="Times New Roman" w:cs="Times New Roman"/>
          <w:sz w:val="24"/>
          <w:szCs w:val="24"/>
        </w:rPr>
        <w:t xml:space="preserve">godnie z art. 2 </w:t>
      </w:r>
      <w:r w:rsidR="003973DE">
        <w:rPr>
          <w:rFonts w:ascii="Times New Roman" w:hAnsi="Times New Roman" w:cs="Times New Roman"/>
          <w:sz w:val="24"/>
          <w:szCs w:val="24"/>
        </w:rPr>
        <w:t xml:space="preserve">przywołanej </w:t>
      </w:r>
      <w:r w:rsidR="00D93430">
        <w:rPr>
          <w:rFonts w:ascii="Times New Roman" w:hAnsi="Times New Roman" w:cs="Times New Roman"/>
          <w:sz w:val="24"/>
          <w:szCs w:val="24"/>
        </w:rPr>
        <w:t xml:space="preserve">na wstępie </w:t>
      </w:r>
      <w:r w:rsidRPr="00EC0532">
        <w:rPr>
          <w:rFonts w:ascii="Times New Roman" w:hAnsi="Times New Roman" w:cs="Times New Roman"/>
          <w:sz w:val="24"/>
          <w:szCs w:val="24"/>
        </w:rPr>
        <w:t xml:space="preserve">ustawy z dnia 12 czerwca 2015 r. </w:t>
      </w:r>
      <w:r w:rsidR="001714C4">
        <w:rPr>
          <w:rFonts w:ascii="Times New Roman" w:hAnsi="Times New Roman" w:cs="Times New Roman"/>
          <w:i/>
          <w:color w:val="000000"/>
          <w:sz w:val="24"/>
          <w:szCs w:val="24"/>
        </w:rPr>
        <w:t>o zmianie ustawy o </w:t>
      </w:r>
      <w:r w:rsidRPr="00EC0532">
        <w:rPr>
          <w:rFonts w:ascii="Times New Roman" w:hAnsi="Times New Roman" w:cs="Times New Roman"/>
          <w:i/>
          <w:color w:val="000000"/>
          <w:sz w:val="24"/>
          <w:szCs w:val="24"/>
        </w:rPr>
        <w:t>prawach pacjenta i Rzeczniku Praw Pacjenta</w:t>
      </w:r>
      <w:r w:rsidRPr="00EC0532">
        <w:rPr>
          <w:rFonts w:ascii="Times New Roman" w:hAnsi="Times New Roman" w:cs="Times New Roman"/>
          <w:sz w:val="24"/>
          <w:szCs w:val="24"/>
        </w:rPr>
        <w:t xml:space="preserve"> dotychczasowy akt wykonawczy wydany na podstawie zmienianego tą ustawą art. 30 ust. 2, tj. rozporządzenie Ministra Spraw Wewnętrznych i Administracji z dnia 18 maja 2011 r. </w:t>
      </w:r>
      <w:r w:rsidRPr="00EC0532">
        <w:rPr>
          <w:rFonts w:ascii="Times New Roman" w:hAnsi="Times New Roman" w:cs="Times New Roman"/>
          <w:i/>
          <w:sz w:val="24"/>
          <w:szCs w:val="24"/>
        </w:rPr>
        <w:t>w sprawie rodzaju i zakresu oraz sposobu przetwarzania dokumentacji medycznej w zakładach opieki zdrowotnej utworzonych przez ministra właściwego do spraw wewnętrznych</w:t>
      </w:r>
      <w:r w:rsidRPr="00EC0532">
        <w:rPr>
          <w:rFonts w:ascii="Times New Roman" w:hAnsi="Times New Roman" w:cs="Times New Roman"/>
          <w:sz w:val="24"/>
          <w:szCs w:val="24"/>
        </w:rPr>
        <w:t xml:space="preserve"> zostało zachowane w mocy do czasu wydania nowego aktu wykonawczego, nie dłużej jednak niż przez 6 miesięcy od dnia wejścia w życie ustawy, tj. do dnia 28 lutego 2015 r. </w:t>
      </w:r>
    </w:p>
    <w:p w:rsidR="00906993" w:rsidRPr="0030110C" w:rsidRDefault="00906993" w:rsidP="004F44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Zagadnienia regulowane w projektowanym akcie prawnym nie są objęte prawem Unii Europejskiej. Projekt rozporządzenia nie wymaga notyfikacji w rozumieniu przepisów rozporządzenia Rady Ministrów z dnia 23 grudnia 2002</w:t>
      </w:r>
      <w:r w:rsidR="009268FB" w:rsidRPr="0030110C">
        <w:rPr>
          <w:rFonts w:ascii="Times New Roman" w:hAnsi="Times New Roman" w:cs="Times New Roman"/>
          <w:sz w:val="24"/>
          <w:szCs w:val="24"/>
        </w:rPr>
        <w:t xml:space="preserve"> </w:t>
      </w:r>
      <w:r w:rsidRPr="0030110C">
        <w:rPr>
          <w:rFonts w:ascii="Times New Roman" w:hAnsi="Times New Roman" w:cs="Times New Roman"/>
          <w:sz w:val="24"/>
          <w:szCs w:val="24"/>
        </w:rPr>
        <w:t xml:space="preserve">r. w sprawie sposobu funkcjonowania krajowego systemu notyfikacji norm i aktów prawnych (Dz. U. Nr 239, poz. 2039 z </w:t>
      </w:r>
      <w:proofErr w:type="spellStart"/>
      <w:r w:rsidRPr="003011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110C">
        <w:rPr>
          <w:rFonts w:ascii="Times New Roman" w:hAnsi="Times New Roman" w:cs="Times New Roman"/>
          <w:sz w:val="24"/>
          <w:szCs w:val="24"/>
        </w:rPr>
        <w:t>. zm.).</w:t>
      </w:r>
    </w:p>
    <w:p w:rsidR="00E7086E" w:rsidRPr="0030110C" w:rsidRDefault="00D10ECC" w:rsidP="004F44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C">
        <w:rPr>
          <w:rFonts w:ascii="Times New Roman" w:hAnsi="Times New Roman" w:cs="Times New Roman"/>
          <w:sz w:val="24"/>
          <w:szCs w:val="24"/>
        </w:rPr>
        <w:t>Projekt rozporządzenia nie jest objęty prawem Unii Europejskiej i nie wymaga przedstawienia właściwym instytucjom i or</w:t>
      </w:r>
      <w:r w:rsidR="00F8702A" w:rsidRPr="0030110C">
        <w:rPr>
          <w:rFonts w:ascii="Times New Roman" w:hAnsi="Times New Roman" w:cs="Times New Roman"/>
          <w:sz w:val="24"/>
          <w:szCs w:val="24"/>
        </w:rPr>
        <w:t>ganom Unii Europejskiej,</w:t>
      </w:r>
      <w:r w:rsidRPr="0030110C">
        <w:rPr>
          <w:rFonts w:ascii="Times New Roman" w:hAnsi="Times New Roman" w:cs="Times New Roman"/>
          <w:sz w:val="24"/>
          <w:szCs w:val="24"/>
        </w:rPr>
        <w:t xml:space="preserve"> celem uzyskania opinii, dokonania powiadomienia, konsult</w:t>
      </w:r>
      <w:r w:rsidR="00E7086E" w:rsidRPr="0030110C">
        <w:rPr>
          <w:rFonts w:ascii="Times New Roman" w:hAnsi="Times New Roman" w:cs="Times New Roman"/>
          <w:sz w:val="24"/>
          <w:szCs w:val="24"/>
        </w:rPr>
        <w:t>acji albo uzgodnienia projektu.</w:t>
      </w:r>
    </w:p>
    <w:p w:rsidR="007346AF" w:rsidRPr="009268FB" w:rsidRDefault="007346AF" w:rsidP="009268F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6AF" w:rsidRPr="0092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6C" w:rsidRDefault="005D036C" w:rsidP="00E7086E">
      <w:pPr>
        <w:spacing w:after="0" w:line="240" w:lineRule="auto"/>
      </w:pPr>
      <w:r>
        <w:separator/>
      </w:r>
    </w:p>
  </w:endnote>
  <w:endnote w:type="continuationSeparator" w:id="0">
    <w:p w:rsidR="005D036C" w:rsidRDefault="005D036C" w:rsidP="00E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6C" w:rsidRDefault="005D036C" w:rsidP="00E7086E">
      <w:pPr>
        <w:spacing w:after="0" w:line="240" w:lineRule="auto"/>
      </w:pPr>
      <w:r>
        <w:separator/>
      </w:r>
    </w:p>
  </w:footnote>
  <w:footnote w:type="continuationSeparator" w:id="0">
    <w:p w:rsidR="005D036C" w:rsidRDefault="005D036C" w:rsidP="00E7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027"/>
    <w:multiLevelType w:val="hybridMultilevel"/>
    <w:tmpl w:val="7470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6E1"/>
    <w:multiLevelType w:val="hybridMultilevel"/>
    <w:tmpl w:val="0FFC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1431"/>
    <w:multiLevelType w:val="hybridMultilevel"/>
    <w:tmpl w:val="986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EC"/>
    <w:rsid w:val="00001466"/>
    <w:rsid w:val="00034EDF"/>
    <w:rsid w:val="000612B8"/>
    <w:rsid w:val="00067403"/>
    <w:rsid w:val="0009403F"/>
    <w:rsid w:val="00095571"/>
    <w:rsid w:val="000A0BF0"/>
    <w:rsid w:val="000F1C84"/>
    <w:rsid w:val="00103CC3"/>
    <w:rsid w:val="0010648F"/>
    <w:rsid w:val="00127B37"/>
    <w:rsid w:val="001714C4"/>
    <w:rsid w:val="001C45A4"/>
    <w:rsid w:val="001E24F3"/>
    <w:rsid w:val="001F1C45"/>
    <w:rsid w:val="001F31C2"/>
    <w:rsid w:val="00202017"/>
    <w:rsid w:val="00220AA8"/>
    <w:rsid w:val="002254D3"/>
    <w:rsid w:val="00232C8F"/>
    <w:rsid w:val="0024223D"/>
    <w:rsid w:val="00245986"/>
    <w:rsid w:val="00251347"/>
    <w:rsid w:val="00284F70"/>
    <w:rsid w:val="002E0978"/>
    <w:rsid w:val="002E15A5"/>
    <w:rsid w:val="002F021C"/>
    <w:rsid w:val="002F28E6"/>
    <w:rsid w:val="002F7654"/>
    <w:rsid w:val="0030110C"/>
    <w:rsid w:val="00316A96"/>
    <w:rsid w:val="0039501F"/>
    <w:rsid w:val="00395A7A"/>
    <w:rsid w:val="00396FEC"/>
    <w:rsid w:val="003973DE"/>
    <w:rsid w:val="003A0F2C"/>
    <w:rsid w:val="003A77DE"/>
    <w:rsid w:val="00432696"/>
    <w:rsid w:val="00444C03"/>
    <w:rsid w:val="00450F90"/>
    <w:rsid w:val="00453388"/>
    <w:rsid w:val="00454B05"/>
    <w:rsid w:val="00490EC6"/>
    <w:rsid w:val="00490F39"/>
    <w:rsid w:val="004B41F1"/>
    <w:rsid w:val="004B5F8A"/>
    <w:rsid w:val="004E1108"/>
    <w:rsid w:val="004E26B7"/>
    <w:rsid w:val="004F4444"/>
    <w:rsid w:val="00521F6D"/>
    <w:rsid w:val="00564E11"/>
    <w:rsid w:val="005A6075"/>
    <w:rsid w:val="005D036C"/>
    <w:rsid w:val="00601745"/>
    <w:rsid w:val="00613AE0"/>
    <w:rsid w:val="00615DFD"/>
    <w:rsid w:val="00623579"/>
    <w:rsid w:val="0064445D"/>
    <w:rsid w:val="0068113F"/>
    <w:rsid w:val="006B4B91"/>
    <w:rsid w:val="006D5E53"/>
    <w:rsid w:val="007346AF"/>
    <w:rsid w:val="00735264"/>
    <w:rsid w:val="007523BF"/>
    <w:rsid w:val="0076279F"/>
    <w:rsid w:val="00780569"/>
    <w:rsid w:val="00790339"/>
    <w:rsid w:val="007F3429"/>
    <w:rsid w:val="0082703B"/>
    <w:rsid w:val="008323EA"/>
    <w:rsid w:val="00865655"/>
    <w:rsid w:val="00895209"/>
    <w:rsid w:val="008A6A4E"/>
    <w:rsid w:val="00906993"/>
    <w:rsid w:val="009268FB"/>
    <w:rsid w:val="00936593"/>
    <w:rsid w:val="00986674"/>
    <w:rsid w:val="00995678"/>
    <w:rsid w:val="00997DC9"/>
    <w:rsid w:val="009B053D"/>
    <w:rsid w:val="009B4F0E"/>
    <w:rsid w:val="009D7E7A"/>
    <w:rsid w:val="00A11BC2"/>
    <w:rsid w:val="00A12785"/>
    <w:rsid w:val="00A4751E"/>
    <w:rsid w:val="00A542A5"/>
    <w:rsid w:val="00AC4F31"/>
    <w:rsid w:val="00AD5282"/>
    <w:rsid w:val="00AE3B32"/>
    <w:rsid w:val="00AF38BF"/>
    <w:rsid w:val="00B345E2"/>
    <w:rsid w:val="00B770C8"/>
    <w:rsid w:val="00BB46CB"/>
    <w:rsid w:val="00BC376C"/>
    <w:rsid w:val="00C16C2B"/>
    <w:rsid w:val="00C30704"/>
    <w:rsid w:val="00C36A30"/>
    <w:rsid w:val="00C50B6D"/>
    <w:rsid w:val="00C57B7C"/>
    <w:rsid w:val="00CB6A70"/>
    <w:rsid w:val="00D10ECC"/>
    <w:rsid w:val="00D21312"/>
    <w:rsid w:val="00D2454B"/>
    <w:rsid w:val="00D2702B"/>
    <w:rsid w:val="00D37FCF"/>
    <w:rsid w:val="00D51FE4"/>
    <w:rsid w:val="00D64629"/>
    <w:rsid w:val="00D93430"/>
    <w:rsid w:val="00D93A82"/>
    <w:rsid w:val="00D93B95"/>
    <w:rsid w:val="00DC52A1"/>
    <w:rsid w:val="00DD4482"/>
    <w:rsid w:val="00DE7050"/>
    <w:rsid w:val="00E417DD"/>
    <w:rsid w:val="00E7086E"/>
    <w:rsid w:val="00EC0532"/>
    <w:rsid w:val="00EC12E0"/>
    <w:rsid w:val="00EE4185"/>
    <w:rsid w:val="00EF6951"/>
    <w:rsid w:val="00F05E78"/>
    <w:rsid w:val="00F23B48"/>
    <w:rsid w:val="00F249F8"/>
    <w:rsid w:val="00F448DC"/>
    <w:rsid w:val="00F768A2"/>
    <w:rsid w:val="00F8702A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6E"/>
  </w:style>
  <w:style w:type="paragraph" w:styleId="Stopka">
    <w:name w:val="footer"/>
    <w:basedOn w:val="Normalny"/>
    <w:link w:val="StopkaZnak"/>
    <w:uiPriority w:val="99"/>
    <w:unhideWhenUsed/>
    <w:rsid w:val="00E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6E"/>
  </w:style>
  <w:style w:type="paragraph" w:styleId="Akapitzlist">
    <w:name w:val="List Paragraph"/>
    <w:basedOn w:val="Normalny"/>
    <w:uiPriority w:val="34"/>
    <w:qFormat/>
    <w:rsid w:val="0092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6E"/>
  </w:style>
  <w:style w:type="paragraph" w:styleId="Stopka">
    <w:name w:val="footer"/>
    <w:basedOn w:val="Normalny"/>
    <w:link w:val="StopkaZnak"/>
    <w:uiPriority w:val="99"/>
    <w:unhideWhenUsed/>
    <w:rsid w:val="00E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6E"/>
  </w:style>
  <w:style w:type="paragraph" w:styleId="Akapitzlist">
    <w:name w:val="List Paragraph"/>
    <w:basedOn w:val="Normalny"/>
    <w:uiPriority w:val="34"/>
    <w:qFormat/>
    <w:rsid w:val="0092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jkarczewska</dc:creator>
  <cp:lastModifiedBy>Langner Agata</cp:lastModifiedBy>
  <cp:revision>2</cp:revision>
  <cp:lastPrinted>2015-11-12T11:04:00Z</cp:lastPrinted>
  <dcterms:created xsi:type="dcterms:W3CDTF">2015-12-28T09:07:00Z</dcterms:created>
  <dcterms:modified xsi:type="dcterms:W3CDTF">2015-12-28T09:07:00Z</dcterms:modified>
</cp:coreProperties>
</file>